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The effect of macroprudential indicators on the repo rate: Evidence from South Africa</w:t>
      </w:r>
    </w:p>
    <w:p>
      <w:pPr>
        <w:jc w:val="center"/>
      </w:pPr>
      <w:r>
        <w:t>DOI: https://doi.org/10.1080/23322039.2026.2616509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TL;DR（你要記的 5 句話）</w:t>
      </w:r>
    </w:p>
    <w:p>
      <w:pPr>
        <w:pStyle w:val="ListBullet"/>
      </w:pPr>
      <w:r>
        <w:t>這篇研究問的是：南非央行（SARB）設定 repo rate 時，除了通膨與成長，宏觀審慎指標（macroprudential indicators）會不會也在影響決策。</w:t>
      </w:r>
    </w:p>
    <w:p>
      <w:pPr>
        <w:pStyle w:val="ListBullet"/>
      </w:pPr>
      <w:r>
        <w:t>用 2008Q1–2023Q4 季資料，採 ARDL bounds + ECM，把短期波動與長期均衡分開估。</w:t>
      </w:r>
    </w:p>
    <w:p>
      <w:pPr>
        <w:pStyle w:val="ListBullet"/>
      </w:pPr>
      <w:r>
        <w:t>結果指出：CAR（銀行資本適足）↑、家庭 DTI（槓桿）↑ 與 repo rate ↑ 有關。</w:t>
      </w:r>
    </w:p>
    <w:p>
      <w:pPr>
        <w:pStyle w:val="ListBullet"/>
      </w:pPr>
      <w:r>
        <w:t>這代表貨幣政策與金融穩定政策需要更緊密協作（MPC × FSC）。</w:t>
      </w:r>
    </w:p>
    <w:p>
      <w:pPr>
        <w:pStyle w:val="ListBullet"/>
      </w:pPr>
      <w:r>
        <w:t>對我們做宏觀/市場分析：解讀利率路徑時要把「金融槓桿/信用/銀行體質」一併當成狀態變數。</w:t>
      </w:r>
    </w:p>
    <w:p>
      <w:pPr>
        <w:pStyle w:val="Heading1"/>
      </w:pPr>
      <w:r>
        <w:t>2) 文章定位（它在文獻中的位置）</w:t>
      </w:r>
    </w:p>
    <w:p>
      <w:r>
        <w:t>屬於「貨幣政策 × 宏觀審慎」互動的實證研究，聚焦新興市場（South Africa）的制度與資料特性。</w:t>
      </w:r>
    </w:p>
    <w:p>
      <w:pPr>
        <w:pStyle w:val="Heading1"/>
      </w:pPr>
      <w:r>
        <w:t>3) Abstract（中文濃縮）</w:t>
      </w:r>
    </w:p>
    <w:p>
      <w:r>
        <w:t>作者以 repo rate 作為貨幣政策工具，檢驗金融部門狀況（macroprudential 指標）對 repo rate 的影響。方法採 ARDL bounds test 與 ECM，資料為 2008Q1–2023Q4 季資料，並控制通膨、GDP 成長、外部收支與全球利率等。結果：CAR 與家庭 DTI 上升與更高 repo rate 有關；部分信用成長指標呈逆循環效果。作者建議強化 MPC 與 FSC 協作，並調整通膨目標框架以納入系統性風險。</w:t>
      </w:r>
    </w:p>
    <w:p>
      <w:pPr>
        <w:pStyle w:val="Heading1"/>
      </w:pPr>
      <w:r>
        <w:t>4) 方法論（你要能講清楚）</w:t>
      </w:r>
    </w:p>
    <w:p>
      <w:pPr>
        <w:pStyle w:val="ListBullet"/>
      </w:pPr>
      <w:r>
        <w:t>方法重點：</w:t>
      </w:r>
    </w:p>
    <w:p>
      <w:pPr>
        <w:pStyle w:val="ListBullet"/>
      </w:pPr>
      <w:r>
        <w:t>資料：2008Q1–2023Q4 季資料（SARB + World Bank）。</w:t>
      </w:r>
    </w:p>
    <w:p>
      <w:pPr>
        <w:pStyle w:val="ListBullet"/>
      </w:pPr>
      <w:r>
        <w:t>方法：ARDL bounds test + ECM（誤差修正模型）來分離短期與長期關係。</w:t>
      </w:r>
    </w:p>
    <w:p>
      <w:pPr>
        <w:pStyle w:val="ListBullet"/>
      </w:pPr>
      <w:r>
        <w:t>為什麼用 ARDL：允許混合 I(0)/I(1)，且小樣本更實用。</w:t>
      </w:r>
    </w:p>
    <w:p>
      <w:pPr>
        <w:pStyle w:val="ListBullet"/>
      </w:pPr>
      <w:r>
        <w:t>控制變數：通膨、GDP 成長、外部收支、匯率、全球利率等宏觀基本面。</w:t>
      </w:r>
    </w:p>
    <w:p>
      <w:pPr>
        <w:pStyle w:val="ListBullet"/>
      </w:pPr>
      <w:r>
        <w:t>宏觀審慎指標：CAR（資本適足率）、DTI（家庭負債/所得）、家庭貸款（LAH）等；並因共線性排除部分變數（用 VIF/相關矩陣檢查）。</w:t>
      </w:r>
    </w:p>
    <w:p>
      <w:pPr>
        <w:pStyle w:val="Heading1"/>
      </w:pPr>
      <w:r>
        <w:t>5) 關鍵結果（方向與意義）</w:t>
      </w:r>
    </w:p>
    <w:p>
      <w:pPr>
        <w:pStyle w:val="ListBullet"/>
      </w:pPr>
      <w:r>
        <w:t>存在長期關係（cointegration）：ARDL bounds F-statistic 顯著超過上界臨界值。</w:t>
      </w:r>
    </w:p>
    <w:p>
      <w:pPr>
        <w:pStyle w:val="ListBullet"/>
      </w:pPr>
      <w:r>
        <w:t>長期方向：CAR ↑、DTI ↑ → repo rate ↑（偏向更緊的利率政策）。</w:t>
      </w:r>
    </w:p>
    <w:p>
      <w:pPr>
        <w:pStyle w:val="ListBullet"/>
      </w:pPr>
      <w:r>
        <w:t>信用成長指標呈現逆循環（countercyclical）效果（摘要描述）。</w:t>
      </w:r>
    </w:p>
    <w:p>
      <w:pPr>
        <w:pStyle w:val="ListBullet"/>
      </w:pPr>
      <w:r>
        <w:t>政策含意：貨幣政策（控通膨）不能完全不看金融穩定；需要把 macroprudential 監測納入利率決策。</w:t>
      </w:r>
    </w:p>
    <w:p>
      <w:pPr>
        <w:pStyle w:val="Heading1"/>
      </w:pPr>
      <w:r>
        <w:t>6) 政策含意（怎麼用在現實世界）</w:t>
      </w:r>
    </w:p>
    <w:p>
      <w:pPr>
        <w:pStyle w:val="ListBullet"/>
      </w:pPr>
      <w:r>
        <w:t>工具觀：macroprudential 工具可以「補充」利率，某些情況可降低頻繁大幅調利率的需求，但不能完全取代利率（因價格穩定仍靠貨幣政策）。</w:t>
      </w:r>
    </w:p>
    <w:p>
      <w:pPr>
        <w:pStyle w:val="ListBullet"/>
      </w:pPr>
      <w:r>
        <w:t>治理觀：建議強化 SARB 內部 MPC（貨幣政策）與 FSC（金融穩定）的協作，讓系統性風險評估真正進入利率討論。</w:t>
      </w:r>
    </w:p>
    <w:p>
      <w:pPr>
        <w:pStyle w:val="ListBullet"/>
      </w:pPr>
      <w:r>
        <w:t>框架觀：支持「彈性通膨目標制」：溝通上要清楚說明金融穩定風險如何影響利率路徑；模型上把宏觀金融變數更直接納入 forecasting/QPM。</w:t>
      </w:r>
    </w:p>
    <w:p>
      <w:pPr>
        <w:pStyle w:val="Heading1"/>
      </w:pPr>
      <w:r>
        <w:t>7) 內化成 MarketJournal 技能（可直接套用的分析框架）</w:t>
      </w:r>
    </w:p>
    <w:p>
      <w:pPr>
        <w:pStyle w:val="ListBullet"/>
      </w:pPr>
      <w:r>
        <w:t>【央行反應函數不是只有通膨】在新興市場/高波動環境，利率決策往往同時受金融穩定指標（例如 DTI、CAR、NPL、信用缺口）影響。</w:t>
      </w:r>
    </w:p>
    <w:p>
      <w:pPr>
        <w:pStyle w:val="ListBullet"/>
      </w:pPr>
      <w:r>
        <w:t>【宏觀審慎×貨幣政策＝雙目標協調】把它當成「兩個委員會/兩套工具」的協作問題：利率主要管需求與通膨；macroprudential 管系統性風險與槓桿循環。</w:t>
      </w:r>
    </w:p>
    <w:p>
      <w:pPr>
        <w:pStyle w:val="ListBullet"/>
      </w:pPr>
      <w:r>
        <w:t>【解讀政策訊號的實務】當你看到央行偏鷹/偏鴿，不只問 CPI，也問：家庭槓桿是否過高？銀行資本緩衝是否緊？信用擴張是否失控？</w:t>
      </w:r>
    </w:p>
    <w:p>
      <w:pPr>
        <w:pStyle w:val="ListBullet"/>
      </w:pPr>
      <w:r>
        <w:t>【模型/研究檢核】做宏觀研究時：先檢查 I(0)/I(1) → cointegration → 再談長短期係數；共線性要處理（VIF）。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