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An empirical investigation of current account balance and economic growth in Sierra Leone: evidence from GARCH-model and VEC-model</w:t>
      </w:r>
    </w:p>
    <w:p>
      <w:pPr>
        <w:jc w:val="center"/>
      </w:pPr>
      <w:r>
        <w:t>DOI: https://doi.org/10.1080/23322039.2025.2599566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這篇研究獅子山（Sierra Leone）1980–2024：經常帳（CAB）與成長的關係，並加入匯率波動、FDI、債務等變數。</w:t>
      </w:r>
    </w:p>
    <w:p>
      <w:pPr>
        <w:pStyle w:val="ListBullet"/>
      </w:pPr>
      <w:r>
        <w:t>方法把「匯率波動」先用 GARCH 建出 EXVOL，再用 Johansen cointegration + VECM 分析長短期。</w:t>
      </w:r>
    </w:p>
    <w:p>
      <w:pPr>
        <w:pStyle w:val="ListBullet"/>
      </w:pPr>
      <w:r>
        <w:t>長期拖累成長：CAB 持續失衡、匯率波動、FDI 配置效率差、公共債務上升。</w:t>
      </w:r>
    </w:p>
    <w:p>
      <w:pPr>
        <w:pStyle w:val="ListBullet"/>
      </w:pPr>
      <w:r>
        <w:t>Terms of Trade（ToT）是摘要中唯一長期正向且持久的支撐因子。</w:t>
      </w:r>
    </w:p>
    <w:p>
      <w:pPr>
        <w:pStyle w:val="ListBullet"/>
      </w:pPr>
      <w:r>
        <w:t>短期回到均衡速度不快（ECM 約 9%），顯示需要結構改革與韌性建設。</w:t>
      </w:r>
    </w:p>
    <w:p>
      <w:pPr>
        <w:pStyle w:val="Heading1"/>
      </w:pPr>
      <w:r>
        <w:t>2) Abstract（中文濃縮）</w:t>
      </w:r>
    </w:p>
    <w:p>
      <w:r>
        <w:t>作者用 1980–2024 年資料，以 GARCH 與 VECM 檢驗 CAB 與成長。結果指出 CAB 持續失衡、匯率波動、FDI 配置效率差與債務負擔上升會抑制長期成長；ToT 改善是唯一長期正向因素。短期上，資本形成對成長為正，且經濟以約 9.12% 的速度修正偏離長期均衡。</w:t>
      </w:r>
    </w:p>
    <w:p>
      <w:pPr>
        <w:pStyle w:val="Heading1"/>
      </w:pPr>
      <w:r>
        <w:t>3) 方法與設計（你要能講清楚）</w:t>
      </w:r>
    </w:p>
    <w:p>
      <w:pPr>
        <w:pStyle w:val="ListBullet"/>
      </w:pPr>
      <w:r>
        <w:t>資料：1980–2024 年年資料（WDI + IMF）。</w:t>
      </w:r>
    </w:p>
    <w:p>
      <w:pPr>
        <w:pStyle w:val="ListBullet"/>
      </w:pPr>
      <w:r>
        <w:t>先用 ARCH test 確認波動叢聚（p≈0.005），再用 GARCH(1,1) 估計匯率波動 EXVOL。</w:t>
      </w:r>
    </w:p>
    <w:p>
      <w:pPr>
        <w:pStyle w:val="ListBullet"/>
      </w:pPr>
      <w:r>
        <w:t>時間序列檢定：ADF / PP；並做 Bai–Perron 結構斷點（文中提到 1998/2007/2014 等）。</w:t>
      </w:r>
    </w:p>
    <w:p>
      <w:pPr>
        <w:pStyle w:val="ListBullet"/>
      </w:pPr>
      <w:r>
        <w:t>長短期關係：Johansen cointegration → VECM（向量誤差修正模型）、IRF、variance decomposition、診斷檢定。</w:t>
      </w:r>
    </w:p>
    <w:p>
      <w:pPr>
        <w:pStyle w:val="Heading1"/>
      </w:pPr>
      <w:r>
        <w:t>4) 主要結果（含可背數字）</w:t>
      </w:r>
    </w:p>
    <w:p>
      <w:pPr>
        <w:pStyle w:val="ListBullet"/>
      </w:pPr>
      <w:r>
        <w:t>長期（lasting growth）負面因素：持續的經常帳失衡（CAB）、匯率波動（EXVOL）、FDI 配置效率差、公共債務（PD）上升。</w:t>
      </w:r>
    </w:p>
    <w:p>
      <w:pPr>
        <w:pStyle w:val="ListBullet"/>
      </w:pPr>
      <w:r>
        <w:t>Terms of Trade（ToT）是長期唯一正向且持久的成長支撐（摘要說法）。</w:t>
      </w:r>
    </w:p>
    <w:p>
      <w:pPr>
        <w:pStyle w:val="ListBullet"/>
      </w:pPr>
      <w:r>
        <w:t>Gross capital formation（GCF）在長期反而拖累成長（作者解讀：金融部門弱、貨幣政策無效導致投資效率差）。</w:t>
      </w:r>
    </w:p>
    <w:p>
      <w:pPr>
        <w:pStyle w:val="ListBullet"/>
      </w:pPr>
      <w:r>
        <w:t>短期（transitory）：只有資本形成顯著正向；整體回到均衡速度偏慢。</w:t>
      </w:r>
    </w:p>
    <w:p>
      <w:pPr>
        <w:pStyle w:val="ListBullet"/>
      </w:pPr>
      <w:r>
        <w:t>短期 ECM 調整速度：約 9.12%（每期修正偏離長期均衡的幅度不快）。</w:t>
      </w:r>
    </w:p>
    <w:p>
      <w:pPr>
        <w:pStyle w:val="ListBullet"/>
      </w:pPr>
      <w:r>
        <w:t>匯率波動（EXVOL）用 GARCH(1,1) 建模：文中提到 α+β ≈ 1.064，接近 IGARCH，代表匯率波動衝擊消散很慢。</w:t>
      </w:r>
    </w:p>
    <w:p>
      <w:pPr>
        <w:pStyle w:val="Heading1"/>
      </w:pPr>
      <w:r>
        <w:t>5) 政策含意（怎麼用在國家/市場觀察）</w:t>
      </w:r>
    </w:p>
    <w:p>
      <w:pPr>
        <w:pStyle w:val="ListBullet"/>
      </w:pPr>
      <w:r>
        <w:t>CAB/外部平衡：出口多元化、提升外匯管理、降低對進口與外部融資依賴。</w:t>
      </w:r>
    </w:p>
    <w:p>
      <w:pPr>
        <w:pStyle w:val="ListBullet"/>
      </w:pPr>
      <w:r>
        <w:t>匯率波動：更好的 reserve management + 降低外部融資依賴 + 提升本國生產以減少進口。</w:t>
      </w:r>
    </w:p>
    <w:p>
      <w:pPr>
        <w:pStyle w:val="ListBullet"/>
      </w:pPr>
      <w:r>
        <w:t>FDI：把 FDI 從採掘業引導到製造/科技/服務，並做 local content/技能移轉與本地供應鏈整合。</w:t>
      </w:r>
    </w:p>
    <w:p>
      <w:pPr>
        <w:pStyle w:val="ListBullet"/>
      </w:pPr>
      <w:r>
        <w:t>債務：擴大國內稅基與公共財政管理、必要時重談債務條件；強化政策協調（貨幣×財政）。</w:t>
      </w:r>
    </w:p>
    <w:p>
      <w:pPr>
        <w:pStyle w:val="Heading1"/>
      </w:pPr>
      <w:r>
        <w:t>6) 內化成 MarketJournal 技能（可複用框架）</w:t>
      </w:r>
    </w:p>
    <w:p>
      <w:pPr>
        <w:pStyle w:val="ListBullet"/>
      </w:pPr>
      <w:r>
        <w:t>【外部平衡是成長約束】對小型/脆弱經濟體，CAB 持續失衡 + 匯率波動會變成長期成長的天花板。</w:t>
      </w:r>
    </w:p>
    <w:p>
      <w:pPr>
        <w:pStyle w:val="ListBullet"/>
      </w:pPr>
      <w:r>
        <w:t>【波動持久性要量化】看到 EXVOL 接近 IGARCH（α+β≈1）→ 代表匯率衝擊很黏，政策需要以「降低脆弱性」為主，而不是短期硬壓。</w:t>
      </w:r>
    </w:p>
    <w:p>
      <w:pPr>
        <w:pStyle w:val="ListBullet"/>
      </w:pPr>
      <w:r>
        <w:t>【ToT 是長期 driver】資源/出口導向國家，ToT 改善常是少數能長期推動成長的外生力量；策略上要把 ToT 的好時期用來投資多元化。</w:t>
      </w:r>
    </w:p>
    <w:p>
      <w:pPr>
        <w:pStyle w:val="ListBullet"/>
      </w:pPr>
      <w:r>
        <w:t>【短期與長期政策不同】ECM 調整慢（~9%）→ 結構改革/制度改善比短期刺激更重要。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