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Fiscal revenue mobilization and structural transformation in Sub-Saharan Africa: a panel data analysis</w:t>
      </w:r>
    </w:p>
    <w:p>
      <w:pPr>
        <w:jc w:val="center"/>
      </w:pPr>
      <w:r>
        <w:t>DOI: https://doi.org/10.1080/23322039.2025.2611621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這篇研究問：撒哈拉以南非洲（SSA）國家「財政收入動員能力」是否能推動結構轉型（製造/工業/服務增加值）。</w:t>
      </w:r>
    </w:p>
    <w:p>
      <w:pPr>
        <w:pStyle w:val="ListBullet"/>
      </w:pPr>
      <w:r>
        <w:t>用 33 國、2000–2022 的面板資料，採 Driscoll &amp; Kraay + IV-GMM。</w:t>
      </w:r>
    </w:p>
    <w:p>
      <w:pPr>
        <w:pStyle w:val="ListBullet"/>
      </w:pPr>
      <w:r>
        <w:t>基準結果（Driscoll &amp; Kraay）：財政收入占 GDP 每增加 1 個百分點 → 製造業增加值 +0.11pp、工業 +0.40pp、服務業 +0.47pp（皆顯著）。</w:t>
      </w:r>
    </w:p>
    <w:p>
      <w:pPr>
        <w:pStyle w:val="ListBullet"/>
      </w:pPr>
      <w:r>
        <w:t>結果在多種穩健性檢查（拆稅種、加控制、用 ECI）下依然成立。</w:t>
      </w:r>
    </w:p>
    <w:p>
      <w:pPr>
        <w:pStyle w:val="ListBullet"/>
      </w:pPr>
      <w:r>
        <w:t>關鍵機制：財政收入也透過「反貪腐控制」與「政治穩定」間接推動轉型（治理是放大器）。</w:t>
      </w:r>
    </w:p>
    <w:p>
      <w:pPr>
        <w:pStyle w:val="Heading1"/>
      </w:pPr>
      <w:r>
        <w:t>2) Abstract（中文濃縮）</w:t>
      </w:r>
    </w:p>
    <w:p>
      <w:r>
        <w:t>作者指出 SSA 結構轉型不足、過度依賴初級商品。財政收入是國內資源動員核心，可用於基建/制度/投資。研究用 2000–2022、33 國資料檢驗 fiscal revenue 對製造/工業/服務增加值的影響，並發現 fiscal revenue 顯著促進轉型；且一部分效果是透過提升反貪腐與政治穩定來傳導。</w:t>
      </w:r>
    </w:p>
    <w:p>
      <w:pPr>
        <w:pStyle w:val="Heading1"/>
      </w:pPr>
      <w:r>
        <w:t>3) 方法與設計（你要會講清楚）</w:t>
      </w:r>
    </w:p>
    <w:p>
      <w:pPr>
        <w:pStyle w:val="ListBullet"/>
      </w:pPr>
      <w:r>
        <w:t>樣本：33 個撒哈拉以南非洲國家，2000–2022 面板資料（WDI）。</w:t>
      </w:r>
    </w:p>
    <w:p>
      <w:pPr>
        <w:pStyle w:val="ListBullet"/>
      </w:pPr>
      <w:r>
        <w:t>估計：Driscoll &amp; Kraay（處理截面依賴/序列相關的穩健標準誤）+ IV-GMM（處理內生性）。</w:t>
      </w:r>
    </w:p>
    <w:p>
      <w:pPr>
        <w:pStyle w:val="ListBullet"/>
      </w:pPr>
      <w:r>
        <w:t>結構轉型衡量：製造業/工業/服務業增加值（占 GDP），另用 Economic Complexity Index（ECI）做替代衡量以驗證穩健性。</w:t>
      </w:r>
    </w:p>
    <w:p>
      <w:pPr>
        <w:pStyle w:val="ListBullet"/>
      </w:pPr>
      <w:r>
        <w:t>傳導機制：用中介分析（Baron &amp; Kenny）檢驗「反貪腐控制」「政治穩定」是否為 fiscal revenue → structural transformation 的中介。</w:t>
      </w:r>
    </w:p>
    <w:p>
      <w:pPr>
        <w:pStyle w:val="Heading1"/>
      </w:pPr>
      <w:r>
        <w:t>4) 主要結果（含可背的數字）</w:t>
      </w:r>
    </w:p>
    <w:p>
      <w:pPr>
        <w:pStyle w:val="ListBullet"/>
      </w:pPr>
      <w:r>
        <w:t>基準結果（Driscoll &amp; Kraay）：財政收入占 GDP 每增加 1 個百分點 → 製造業增加值 +0.11pp、工業 +0.40pp、服務業 +0.47pp（皆顯著）。</w:t>
      </w:r>
    </w:p>
    <w:p>
      <w:pPr>
        <w:pStyle w:val="ListBullet"/>
      </w:pPr>
      <w:r>
        <w:t>主要發現：更高的 fiscal revenue 與更高的製造業/工業/服務業增加值顯著正相關；ECI 等替代衡量亦一致。</w:t>
      </w:r>
    </w:p>
    <w:p>
      <w:pPr>
        <w:pStyle w:val="ListBullet"/>
      </w:pPr>
      <w:r>
        <w:t>機制：fiscal revenue 透過提升「control of corruption」與「political stability」間接促進結構轉型；文中估計約 44%（反貪腐）與 50%（政治穩定）屬於中介效果（partial mediation）。</w:t>
      </w:r>
    </w:p>
    <w:p>
      <w:pPr>
        <w:pStyle w:val="Heading1"/>
      </w:pPr>
      <w:r>
        <w:t>5) 政策意涵（如果你要把它用在國家/市場觀察）</w:t>
      </w:r>
    </w:p>
    <w:p>
      <w:pPr>
        <w:pStyle w:val="ListBullet"/>
      </w:pPr>
      <w:r>
        <w:t>擴大稅基、提升徵收效率：把財政能力當作長期轉型的燃料。</w:t>
      </w:r>
    </w:p>
    <w:p>
      <w:pPr>
        <w:pStyle w:val="ListBullet"/>
      </w:pPr>
      <w:r>
        <w:t>把收入用在「生產性投資」：基礎建設、人力資本、技術/創新（而不是只做短期補貼）。</w:t>
      </w:r>
    </w:p>
    <w:p>
      <w:pPr>
        <w:pStyle w:val="ListBullet"/>
      </w:pPr>
      <w:r>
        <w:t>治理是乘數：反貪腐與公共財政透明度，會放大 fiscal revenue 的轉型效果。</w:t>
      </w:r>
    </w:p>
    <w:p>
      <w:pPr>
        <w:pStyle w:val="ListBullet"/>
      </w:pPr>
      <w:r>
        <w:t>政治穩定與包容性：讓投資與產業升級有可預期環境。</w:t>
      </w:r>
    </w:p>
    <w:p>
      <w:pPr>
        <w:pStyle w:val="Heading1"/>
      </w:pPr>
      <w:r>
        <w:t>6) 內化成 MarketJournal 技能（我的可複用框架）</w:t>
      </w:r>
    </w:p>
    <w:p>
      <w:pPr>
        <w:pStyle w:val="ListBullet"/>
      </w:pPr>
      <w:r>
        <w:t>【國家/區域基本面分析】評估長期成長與轉型時，把「財政動員能力（revenue-to-GDP）」當成核心狀態變數：它影響基建、教育、制度供給。</w:t>
      </w:r>
    </w:p>
    <w:p>
      <w:pPr>
        <w:pStyle w:val="ListBullet"/>
      </w:pPr>
      <w:r>
        <w:t>【機制思維】不要只看錢的多少，要看「治理品質」：同樣的財政收入，在高貪腐/低穩定環境可能轉不成產業升級。</w:t>
      </w:r>
    </w:p>
    <w:p>
      <w:pPr>
        <w:pStyle w:val="ListBullet"/>
      </w:pPr>
      <w:r>
        <w:t>【政策催化順序】先提升稅收/財政能力 → 再投資生產性公共品 → 同步提升治理/穩定，才更可能看到製造/工業/服務增加值提升。</w:t>
      </w:r>
    </w:p>
    <w:p>
      <w:pPr>
        <w:pStyle w:val="ListBullet"/>
      </w:pPr>
      <w:r>
        <w:t>【研究檢核】面板研究常見坑：內生性（所以用 IV-GMM）、跨國共同衝擊/截面依賴（所以用 Driscoll &amp; Kraay）。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