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MarketJournal – 網址閱讀/技能內化筆記（中文）</w:t>
      </w:r>
    </w:p>
    <w:p>
      <w:pPr>
        <w:jc w:val="center"/>
      </w:pPr>
      <w:r>
        <w:rPr>
          <w:b/>
          <w:sz w:val="26"/>
        </w:rPr>
        <w:t>Loan-to-deposit reform and deposit maturity: evidence from Saudi Arabia</w:t>
      </w:r>
    </w:p>
    <w:p>
      <w:pPr>
        <w:jc w:val="center"/>
      </w:pPr>
      <w:r>
        <w:t>DOI: https://doi.org/10.1080/23322039.2025.2562344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TL;DR（五句話）</w:t>
      </w:r>
    </w:p>
    <w:p>
      <w:pPr>
        <w:pStyle w:val="ListBullet"/>
      </w:pPr>
      <w:r>
        <w:t>這篇研究 SAMA 2018 年 LDR 改革：對「長天期存款」給更高權重，是否提升銀行融資能力（LDR）並降低流動性風險。</w:t>
      </w:r>
    </w:p>
    <w:p>
      <w:pPr>
        <w:pStyle w:val="ListBullet"/>
      </w:pPr>
      <w:r>
        <w:t>資料用 2013–2024 的銀行體系彙總月資料，並把政策效果拆成政策前/短期/長期。</w:t>
      </w:r>
    </w:p>
    <w:p>
      <w:pPr>
        <w:pStyle w:val="ListBullet"/>
      </w:pPr>
      <w:r>
        <w:t>短期：LDR 下滑但機制不明顯（調整期）。</w:t>
      </w:r>
    </w:p>
    <w:p>
      <w:pPr>
        <w:pStyle w:val="ListBullet"/>
      </w:pPr>
      <w:r>
        <w:t>長期：TSD×政策長期交互項顯著為正，表示政策成功把較穩定的存款結構轉化成更高放貸/融資能力。</w:t>
      </w:r>
    </w:p>
    <w:p>
      <w:pPr>
        <w:pStyle w:val="ListBullet"/>
      </w:pPr>
      <w:r>
        <w:t>政策建議：可提高長天期存款權重，並持續迭代監管以兼顧信用需求與穩定。</w:t>
      </w:r>
    </w:p>
    <w:p>
      <w:pPr>
        <w:pStyle w:val="Heading1"/>
      </w:pPr>
      <w:r>
        <w:t>2) Abstract（中文濃縮）</w:t>
      </w:r>
    </w:p>
    <w:p>
      <w:r>
        <w:t>作者檢驗 SAMA 2018 年 LDR 流動性改革對銀行融資能力的影響，特別關注其是否加強 time &amp; savings deposits（較穩定、較長天期資金）與 LDR 的關係。結果顯示改革在長期確實促使銀行持有更多長天期存款，並支撐放貸。</w:t>
      </w:r>
    </w:p>
    <w:p>
      <w:pPr>
        <w:pStyle w:val="Heading1"/>
      </w:pPr>
      <w:r>
        <w:t>3) 這篇最值得學的「研究設計」</w:t>
      </w:r>
    </w:p>
    <w:p>
      <w:r>
        <w:t>它的亮點是：把政策效果拆成 PRE/ST/LT，並用 TSD×POLICY 的交互項抓到政策是否真的改變機制。</w:t>
      </w:r>
    </w:p>
    <w:p>
      <w:pPr>
        <w:pStyle w:val="Heading1"/>
      </w:pPr>
      <w:r>
        <w:t>4) 方法與資料（你要能講清楚）</w:t>
      </w:r>
    </w:p>
    <w:p>
      <w:pPr>
        <w:pStyle w:val="ListBullet"/>
      </w:pPr>
      <w:r>
        <w:t>研究問題：2018 年 SAMA 更新 LDR 計算規則（對長天期存款給更高權重）是否提升銀行融資能力？</w:t>
      </w:r>
    </w:p>
    <w:p>
      <w:pPr>
        <w:pStyle w:val="ListBullet"/>
      </w:pPr>
      <w:r>
        <w:t>資料：SAMA 月資料彙總的銀行體系資料，2013–2024（total 141 obs）。</w:t>
      </w:r>
    </w:p>
    <w:p>
      <w:pPr>
        <w:pStyle w:val="ListBullet"/>
      </w:pPr>
      <w:r>
        <w:t>設計：把政策效果拆成三段：政策前（PRE）、短期（ST，政策後 1 年）、長期（LT）。</w:t>
      </w:r>
    </w:p>
    <w:p>
      <w:pPr>
        <w:pStyle w:val="ListBullet"/>
      </w:pPr>
      <w:r>
        <w:t>模型：以 LDR 為依變數，TSD 為主要自變數，POLICY 為調節變數，加入交互項 TSD×POLICY；控制 ROE、資本與準備金、NPL、GDP growth 等。</w:t>
      </w:r>
    </w:p>
    <w:p>
      <w:pPr>
        <w:pStyle w:val="ListBullet"/>
      </w:pPr>
      <w:r>
        <w:t>這篇的「技能點」：不是只看政策前後平均，而是用交互項 + 時段切分去驗證政策機制是否真的生效。</w:t>
      </w:r>
    </w:p>
    <w:p>
      <w:pPr>
        <w:pStyle w:val="Heading1"/>
      </w:pPr>
      <w:r>
        <w:t>5) 主要結果（含可背數字）</w:t>
      </w:r>
    </w:p>
    <w:p>
      <w:pPr>
        <w:pStyle w:val="ListBullet"/>
      </w:pPr>
      <w:r>
        <w:t>政策前：銀行 LDR 偏高，但 TSD 佔比偏低 → 暗示資金結構不穩定，可能促使央行介入。</w:t>
      </w:r>
    </w:p>
    <w:p>
      <w:pPr>
        <w:pStyle w:val="ListBullet"/>
      </w:pPr>
      <w:r>
        <w:t>短期：政策實施後一年 LDR 下滑（調整期）；TSD 與 LDR 的關係在短期不顯著（政策需要時間發酵）。</w:t>
      </w:r>
    </w:p>
    <w:p>
      <w:pPr>
        <w:pStyle w:val="ListBullet"/>
      </w:pPr>
      <w:r>
        <w:t>長期：TSD×LT 交互項顯著為正；作者估的 marginal effect 顯示 TSD +1pp 對 LDR 的長期邊際影響約 +1.306pp（顯著）。</w:t>
      </w:r>
    </w:p>
    <w:p>
      <w:pPr>
        <w:pStyle w:val="ListBullet"/>
      </w:pPr>
      <w:r>
        <w:t>政策結論：改革達成「提高長天期存款依賴」並支撐放貸/融資能力，且降低系統性流動性風險。</w:t>
      </w:r>
    </w:p>
    <w:p>
      <w:pPr>
        <w:pStyle w:val="ListBullet"/>
      </w:pPr>
      <w:r>
        <w:t>政策前：time &amp; savings deposits（TSD）平均約占總存款 26%。</w:t>
      </w:r>
    </w:p>
    <w:p>
      <w:pPr>
        <w:pStyle w:val="ListBullet"/>
      </w:pPr>
      <w:r>
        <w:t>到 2024：TSD 約升至 34%（作者仍認為低於國際最佳實務）。</w:t>
      </w:r>
    </w:p>
    <w:p>
      <w:pPr>
        <w:pStyle w:val="ListBullet"/>
      </w:pPr>
      <w:r>
        <w:t>長期：TSD×政策長期（LT）交互項為正且顯著 → 政策確實把更長天期存款「轉化成」更高的融資能力（LDR）。</w:t>
      </w:r>
    </w:p>
    <w:p>
      <w:pPr>
        <w:pStyle w:val="Heading1"/>
      </w:pPr>
      <w:r>
        <w:t>6) 政策含意（可直接用在宏觀/金融監管解讀）</w:t>
      </w:r>
    </w:p>
    <w:p>
      <w:pPr>
        <w:pStyle w:val="ListBullet"/>
      </w:pPr>
      <w:r>
        <w:t>SAMA 可考慮提高更長天期存款的權重（讓銀行更有誘因拉長負債久期）。</w:t>
      </w:r>
    </w:p>
    <w:p>
      <w:pPr>
        <w:pStyle w:val="ListBullet"/>
      </w:pPr>
      <w:r>
        <w:t>監管要持續迭代（2006/2016/2018/2023 多次調整），因為金融結構與信用需求會變。</w:t>
      </w:r>
    </w:p>
    <w:p>
      <w:pPr>
        <w:pStyle w:val="ListBullet"/>
      </w:pPr>
      <w:r>
        <w:t>在大型投資計畫/信用需求上升（如 Vision 2030）時，宏觀審慎目標要兼顧：穩定資金來源 + 支援融資能力。</w:t>
      </w:r>
    </w:p>
    <w:p>
      <w:pPr>
        <w:pStyle w:val="Heading1"/>
      </w:pPr>
      <w:r>
        <w:t>7) 內化成 MarketJournal 技能（可複用框架）</w:t>
      </w:r>
    </w:p>
    <w:p>
      <w:pPr>
        <w:pStyle w:val="ListBullet"/>
      </w:pPr>
      <w:r>
        <w:t>【銀行/信用分析】別只看 LDR 數字，要看「負債端久期」：短存款支撐長放貸 → 流動性風險上升。</w:t>
      </w:r>
    </w:p>
    <w:p>
      <w:pPr>
        <w:pStyle w:val="ListBullet"/>
      </w:pPr>
      <w:r>
        <w:t>【政策工具理解】LDR 規則可以透過「權重」設計，間接引導存款期限結構（maturity composition）。</w:t>
      </w:r>
    </w:p>
    <w:p>
      <w:pPr>
        <w:pStyle w:val="ListBullet"/>
      </w:pPr>
      <w:r>
        <w:t>【評估政策有效性】用「時間分段 + 交互項」抓機制：短期不顯著不代表無效，可能是調整期。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