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Fiscal operations and treasury bonds: is Tanzania experiencing investment crowding out?</w:t>
      </w:r>
    </w:p>
    <w:p>
      <w:pPr>
        <w:jc w:val="center"/>
      </w:pPr>
      <w:r>
        <w:t>DOI: https://doi.org/10.1080/23322039.2025.2582893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這篇研究坦尚尼亞是否出現「政府國內發債 → 擠出私部門信用」的現象。</w:t>
      </w:r>
    </w:p>
    <w:p>
      <w:pPr>
        <w:pStyle w:val="ListBullet"/>
      </w:pPr>
      <w:r>
        <w:t>用 2003–2024 季資料、ARDL-ECM 分離長短期。</w:t>
      </w:r>
    </w:p>
    <w:p>
      <w:pPr>
        <w:pStyle w:val="ListBullet"/>
      </w:pPr>
      <w:r>
        <w:t>核心結論：政府國內債務與私部門信用存在顯著的長期負向關係（擠出效果）。</w:t>
      </w:r>
    </w:p>
    <w:p>
      <w:pPr>
        <w:pStyle w:val="ListBullet"/>
      </w:pPr>
      <w:r>
        <w:t>相對地，貨幣供給與 GDP 成長支持信用擴張，但會被過度發債部分抵消。</w:t>
      </w:r>
    </w:p>
    <w:p>
      <w:pPr>
        <w:pStyle w:val="ListBullet"/>
      </w:pPr>
      <w:r>
        <w:t>政策關鍵：財政與貨幣要協調，且要降低對國內借款的依賴。</w:t>
      </w:r>
    </w:p>
    <w:p>
      <w:pPr>
        <w:pStyle w:val="Heading1"/>
      </w:pPr>
      <w:r>
        <w:t>2) Abstract（中文濃縮）</w:t>
      </w:r>
    </w:p>
    <w:p>
      <w:r>
        <w:t>作者用季資料與 ARDL-ECM 檢驗政府發行公債造成的擠出效果。結果顯示政府債務在長期會壓縮私部門信用；而貨幣供給與 GDP 成長正向推動信用。文章據此建議更審慎的債務管理與政策協調。</w:t>
      </w:r>
    </w:p>
    <w:p>
      <w:pPr>
        <w:pStyle w:val="Heading1"/>
      </w:pPr>
      <w:r>
        <w:t>3) 方法與資料（你要能講清楚）</w:t>
      </w:r>
    </w:p>
    <w:p>
      <w:pPr>
        <w:pStyle w:val="ListBullet"/>
      </w:pPr>
      <w:r>
        <w:t>研究問題：政府用國內借款（發行國庫券/公債）會不會擠出（crowd out）私部門信用與投資？</w:t>
      </w:r>
    </w:p>
    <w:p>
      <w:pPr>
        <w:pStyle w:val="ListBullet"/>
      </w:pPr>
      <w:r>
        <w:t>資料：2003–2024 季資料（Bank of Tanzania Quarterly Economic Reviews），約 85 個觀測值。</w:t>
      </w:r>
    </w:p>
    <w:p>
      <w:pPr>
        <w:pStyle w:val="ListBullet"/>
      </w:pPr>
      <w:r>
        <w:t>方法：ARDL-ECM（允許 I(0)/I(1) 混合），估短期動態 + 長期均衡；並做 ADF/PP、bounds cointegration、診斷測試。</w:t>
      </w:r>
    </w:p>
    <w:p>
      <w:pPr>
        <w:pStyle w:val="ListBullet"/>
      </w:pPr>
      <w:r>
        <w:t>穩健性：文中提到 PCSE、FGLS、CCEMG、AMG 等作為 robustness checks。</w:t>
      </w:r>
    </w:p>
    <w:p>
      <w:pPr>
        <w:pStyle w:val="ListBullet"/>
      </w:pPr>
      <w:r>
        <w:t>變數：私部門信用（被解釋）、政府國內債務（Treasury bonds）、廣義貨幣 M2、GDP growth、通膨、利率等。</w:t>
      </w:r>
    </w:p>
    <w:p>
      <w:pPr>
        <w:pStyle w:val="Heading1"/>
      </w:pPr>
      <w:r>
        <w:t>4) 主要結果（怎麼讀才有用）</w:t>
      </w:r>
    </w:p>
    <w:p>
      <w:pPr>
        <w:pStyle w:val="ListBullet"/>
      </w:pPr>
      <w:r>
        <w:t>長期：政府債務（透過公債）對私部門信用係數為負且顯著 → 支持擠出效果（crowding-out）。</w:t>
      </w:r>
    </w:p>
    <w:p>
      <w:pPr>
        <w:pStyle w:val="ListBullet"/>
      </w:pPr>
      <w:r>
        <w:t>長期：貨幣供給與 GDP growth 對信用為正向驅動；通膨與利率效果較溫和/混合。</w:t>
      </w:r>
    </w:p>
    <w:p>
      <w:pPr>
        <w:pStyle w:val="ListBullet"/>
      </w:pPr>
      <w:r>
        <w:t>短期：利率變動的滯後項對信用為負（升息後幾季信用會收縮）。</w:t>
      </w:r>
    </w:p>
    <w:p>
      <w:pPr>
        <w:pStyle w:val="ListBullet"/>
      </w:pPr>
      <w:r>
        <w:t>機制解讀：在銀行主導、資本市場淺的環境，銀行更偏好低風險的政府債而非私部門放貸，造成結構性擠出。</w:t>
      </w:r>
    </w:p>
    <w:p>
      <w:pPr>
        <w:pStyle w:val="Heading1"/>
      </w:pPr>
      <w:r>
        <w:t>5) 政策含意（可直接用在宏觀/市場解讀）</w:t>
      </w:r>
    </w:p>
    <w:p>
      <w:pPr>
        <w:pStyle w:val="ListBullet"/>
      </w:pPr>
      <w:r>
        <w:t>財政：避免過度依賴國內公債；可提高讓步性外部融資、PPP、多元化融資來源；可考慮設國內借款上限規則。</w:t>
      </w:r>
    </w:p>
    <w:p>
      <w:pPr>
        <w:pStyle w:val="ListBullet"/>
      </w:pPr>
      <w:r>
        <w:t>發債管理：提高透明度與可預期的發債日程，降低對信用市場的突發擾動。</w:t>
      </w:r>
    </w:p>
    <w:p>
      <w:pPr>
        <w:pStyle w:val="ListBullet"/>
      </w:pPr>
      <w:r>
        <w:t>貨幣：央行可用定向流動性/政策工具支持私部門放貸，但要與財政借款節奏協調，不然互相抵消。</w:t>
      </w:r>
    </w:p>
    <w:p>
      <w:pPr>
        <w:pStyle w:val="ListBullet"/>
      </w:pPr>
      <w:r>
        <w:t>誘因：設計機制鼓勵銀行配置一定比例到 SME/生產性部門，避免資金全流向政府債。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【擠出效果判讀】當政府國內借款快速上升、同時私部門信用轉弱：先懷疑「銀行資產配置被政府債吸走」。</w:t>
      </w:r>
    </w:p>
    <w:p>
      <w:pPr>
        <w:pStyle w:val="ListBullet"/>
      </w:pPr>
      <w:r>
        <w:t>【兩條油門要協調】貨幣政策在踩油門（放水）時，如果財政也在猛吸流動性（發債），淨效果可能趨近 0。</w:t>
      </w:r>
    </w:p>
    <w:p>
      <w:pPr>
        <w:pStyle w:val="ListBullet"/>
      </w:pPr>
      <w:r>
        <w:t>【結構性 vs 週期性】在金融市場淺的國家，擠出常是長期結構問題，不一定靠一次降息就解得掉。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