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MarketJournal – 網址閱讀/技能內化筆記（中文）</w:t>
      </w:r>
    </w:p>
    <w:p>
      <w:pPr>
        <w:jc w:val="center"/>
      </w:pPr>
      <w:r>
        <w:rPr>
          <w:b/>
          <w:sz w:val="26"/>
        </w:rPr>
        <w:t>Fiscal policy and household savings in Central Europe: a Markov switching VAR with covid shock</w:t>
      </w:r>
    </w:p>
    <w:p>
      <w:pPr>
        <w:jc w:val="center"/>
      </w:pPr>
      <w:r>
        <w:t>DOI: https://doi.org/10.1080/23322039.2025.2537233</w:t>
      </w:r>
    </w:p>
    <w:p>
      <w:pPr>
        <w:jc w:val="center"/>
      </w:pPr>
      <w:r>
        <w:t>2026-03-04</w:t>
      </w:r>
    </w:p>
    <w:p/>
    <w:p>
      <w:pPr>
        <w:pStyle w:val="Heading1"/>
      </w:pPr>
      <w:r>
        <w:t>1) TL;DR（五句話）</w:t>
      </w:r>
    </w:p>
    <w:p>
      <w:pPr>
        <w:pStyle w:val="ListBullet"/>
      </w:pPr>
      <w:r>
        <w:t>這篇用 MSVAR 把疫情分成三個 regime，研究財政政策如何影響家戶消費/所得/消費傾向（MPC/IMPC）。</w:t>
      </w:r>
    </w:p>
    <w:p>
      <w:pPr>
        <w:pStyle w:val="ListBullet"/>
      </w:pPr>
      <w:r>
        <w:t>最強的訊息：政策效果不只跨國不同，也跨階段不同（regime-dependent）。</w:t>
      </w:r>
    </w:p>
    <w:p>
      <w:pPr>
        <w:pStyle w:val="ListBullet"/>
      </w:pPr>
      <w:r>
        <w:t>Slovakia 效果最好；Croatia 次之但債務上升有代價；Poland 效果最弱。</w:t>
      </w:r>
    </w:p>
    <w:p>
      <w:pPr>
        <w:pStyle w:val="ListBullet"/>
      </w:pPr>
      <w:r>
        <w:t>補貼常讓 IMPC 上升、MPC 下降：家戶把補貼當保險而不是立刻花掉。</w:t>
      </w:r>
    </w:p>
    <w:p>
      <w:pPr>
        <w:pStyle w:val="ListBullet"/>
      </w:pPr>
      <w:r>
        <w:t>政策含意：設計要兼顧「當期消費」與「預期/信心」，並管理債務可持續性。</w:t>
      </w:r>
    </w:p>
    <w:p>
      <w:pPr>
        <w:pStyle w:val="Heading1"/>
      </w:pPr>
      <w:r>
        <w:t>2) Abstract（中文濃縮）</w:t>
      </w:r>
    </w:p>
    <w:p>
      <w:r>
        <w:t>作者比較克羅埃西亞、斯洛伐克與波蘭在 COVID 期間的財政政策效果，並用 Markov switching VAR 把疫情分段評估。結果顯示斯洛伐克財政政策最能支撐消費與所得，波蘭效果較差；補貼更多被用來增加儲蓄/未來規劃。</w:t>
      </w:r>
    </w:p>
    <w:p>
      <w:pPr>
        <w:pStyle w:val="Heading1"/>
      </w:pPr>
      <w:r>
        <w:t>3) 方法（你要能講清楚）</w:t>
      </w:r>
    </w:p>
    <w:p>
      <w:pPr>
        <w:pStyle w:val="ListBullet"/>
      </w:pPr>
      <w:r>
        <w:t>研究問題：COVID 期間，財政政策（債務、支出、收入、補貼）如何影響家戶消費、可支配所得，以及消費傾向（MPC / IMPC）？</w:t>
      </w:r>
    </w:p>
    <w:p>
      <w:pPr>
        <w:pStyle w:val="ListBullet"/>
      </w:pPr>
      <w:r>
        <w:t>國家：Croatia、Slovakia、Poland（中歐三國）。</w:t>
      </w:r>
    </w:p>
    <w:p>
      <w:pPr>
        <w:pStyle w:val="ListBullet"/>
      </w:pPr>
      <w:r>
        <w:t>方法：Markov Switching VAR（MSVAR），把疫情分成三個 regime：初期衝擊、危機高峰、復甦期。</w:t>
      </w:r>
    </w:p>
    <w:p>
      <w:pPr>
        <w:pStyle w:val="ListBullet"/>
      </w:pPr>
      <w:r>
        <w:t>額外：用 Euler equation / intertemporal consumption 理論導入 MPC 與 IMPC 的估計與解讀。</w:t>
      </w:r>
    </w:p>
    <w:p>
      <w:pPr>
        <w:pStyle w:val="ListBullet"/>
      </w:pPr>
      <w:r>
        <w:t>先做 unit root / cointegration（文中用 Engle–Granger），未發現 cointegration → 直接估 MSVAR。</w:t>
      </w:r>
    </w:p>
    <w:p>
      <w:pPr>
        <w:pStyle w:val="Heading1"/>
      </w:pPr>
      <w:r>
        <w:t>4) 主要發現（怎麼讀才有用）</w:t>
      </w:r>
    </w:p>
    <w:p>
      <w:pPr>
        <w:pStyle w:val="ListBullet"/>
      </w:pPr>
      <w:r>
        <w:t>跨國比較：Slovak Republic 的財政政策效果最佳（更能推動消費、支撐所得）。</w:t>
      </w:r>
    </w:p>
    <w:p>
      <w:pPr>
        <w:pStyle w:val="ListBullet"/>
      </w:pPr>
      <w:r>
        <w:t>Croatia：整體偏正面，但政府債務上升會侵蝕效果。</w:t>
      </w:r>
    </w:p>
    <w:p>
      <w:pPr>
        <w:pStyle w:val="ListBullet"/>
      </w:pPr>
      <w:r>
        <w:t>Poland：政策效果較差，甚至出現消費與所得結果偏負，顯示政策可信度/結構差異可能影響傳導。</w:t>
      </w:r>
    </w:p>
    <w:p>
      <w:pPr>
        <w:pStyle w:val="ListBullet"/>
      </w:pPr>
      <w:r>
        <w:t>重要洞見：補貼/轉移支付常提高 IMPC（未來消費規劃）但降低 MPC（當期消費），表示家戶把補貼當「緩衝」而不是立刻花掉（precautionary saving）。</w:t>
      </w:r>
    </w:p>
    <w:p>
      <w:pPr>
        <w:pStyle w:val="Heading1"/>
      </w:pPr>
      <w:r>
        <w:t>5) 政策含意（可直接用在宏觀/市場解讀）</w:t>
      </w:r>
    </w:p>
    <w:p>
      <w:pPr>
        <w:pStyle w:val="ListBullet"/>
      </w:pPr>
      <w:r>
        <w:t>財政政策效果是 regime-dependent：在不同階段（初期/高峰/復甦）效果不同，不能用單一乘數看全部。</w:t>
      </w:r>
    </w:p>
    <w:p>
      <w:pPr>
        <w:pStyle w:val="ListBullet"/>
      </w:pPr>
      <w:r>
        <w:t>政策可信度很重要：同樣是支出/債務，若市場與家戶不信，可能抑制消費。</w:t>
      </w:r>
    </w:p>
    <w:p>
      <w:pPr>
        <w:pStyle w:val="ListBullet"/>
      </w:pPr>
      <w:r>
        <w:t>在危機期：要強化「支撐消費與所得預期」的措施；但要管理債務可持續性，避免反噬。</w:t>
      </w:r>
    </w:p>
    <w:p>
      <w:pPr>
        <w:pStyle w:val="Heading1"/>
      </w:pPr>
      <w:r>
        <w:t>6) 內化成 MarketJournal 技能（可複用框架）</w:t>
      </w:r>
    </w:p>
    <w:p>
      <w:pPr>
        <w:pStyle w:val="ListBullet"/>
      </w:pPr>
      <w:r>
        <w:t>【MPC vs IMPC 鏡頭】看到補貼不帶動消費，不代表政策失效；可能是它在提升家戶「安全感」與未來規劃（IMPC↑）。</w:t>
      </w:r>
    </w:p>
    <w:p>
      <w:pPr>
        <w:pStyle w:val="ListBullet"/>
      </w:pPr>
      <w:r>
        <w:t>【regime 思維】危機分析要分段：初期政策要止血；中期要穩預期；復甦期要把刺激轉為可持續。</w:t>
      </w:r>
    </w:p>
    <w:p>
      <w:pPr>
        <w:pStyle w:val="ListBullet"/>
      </w:pPr>
      <w:r>
        <w:t>【可信度變數】解讀財政刺激要問：市場/民眾信不信政府能長期支撐？信任度會改變乘數。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