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MarketJournal – 網址閱讀/技能內化筆記（中文）</w:t>
      </w:r>
    </w:p>
    <w:p>
      <w:pPr>
        <w:jc w:val="center"/>
      </w:pPr>
      <w:r>
        <w:rPr>
          <w:b/>
          <w:sz w:val="26"/>
        </w:rPr>
        <w:t>Public debt sustainability in Tanzania: a non-linear analysis of fiscal and monetary policy interactions</w:t>
      </w:r>
    </w:p>
    <w:p>
      <w:pPr>
        <w:jc w:val="center"/>
      </w:pPr>
      <w:r>
        <w:t>DOI: https://doi.org/10.1080/23322039.2025.2554299</w:t>
      </w:r>
    </w:p>
    <w:p>
      <w:pPr>
        <w:jc w:val="center"/>
      </w:pPr>
      <w:r>
        <w:t>2026-03-04</w:t>
      </w:r>
    </w:p>
    <w:p/>
    <w:p>
      <w:pPr>
        <w:pStyle w:val="Heading1"/>
      </w:pPr>
      <w:r>
        <w:t>1) TL;DR（五句話）</w:t>
      </w:r>
    </w:p>
    <w:p>
      <w:pPr>
        <w:pStyle w:val="ListBullet"/>
      </w:pPr>
      <w:r>
        <w:t>這篇用 TVAR（門檻 VAR）做非線性債務永續分析：債務低於/高於門檻，宏觀效果會「換一套」。</w:t>
      </w:r>
    </w:p>
    <w:p>
      <w:pPr>
        <w:pStyle w:val="ListBullet"/>
      </w:pPr>
      <w:r>
        <w:t>低債區：債務可支撐成長，宏觀相對穩定。</w:t>
      </w:r>
    </w:p>
    <w:p>
      <w:pPr>
        <w:pStyle w:val="ListBullet"/>
      </w:pPr>
      <w:r>
        <w:t>高債區：債務成為不穩定來源（通膨↑、貶值↑、利率↑、成長↓）。</w:t>
      </w:r>
    </w:p>
    <w:p>
      <w:pPr>
        <w:pStyle w:val="ListBullet"/>
      </w:pPr>
      <w:r>
        <w:t>高債環境下貨幣政策效果變弱，外部衝擊（油價/匯率）放大更明顯。</w:t>
      </w:r>
    </w:p>
    <w:p>
      <w:pPr>
        <w:pStyle w:val="ListBullet"/>
      </w:pPr>
      <w:r>
        <w:t>政策含意：要設定明確 debt ceiling + 強化財政紀律 + 提升 fiscal–monetary coordination。</w:t>
      </w:r>
    </w:p>
    <w:p>
      <w:pPr>
        <w:pStyle w:val="Heading1"/>
      </w:pPr>
      <w:r>
        <w:t>2) Abstract（中文濃縮）</w:t>
      </w:r>
    </w:p>
    <w:p>
      <w:r>
        <w:t>作者用季度資料（2000/2003–2023/2024）與 TVAR 估計債務的門檻效果。結果指出：債務在低於門檻時可正向支撐成長；一旦超過門檻，就會轉為宏觀不穩定來源，表現為通膨上升、匯率貶值、利率上升與成長放緩。</w:t>
      </w:r>
    </w:p>
    <w:p>
      <w:pPr>
        <w:pStyle w:val="Heading1"/>
      </w:pPr>
      <w:r>
        <w:t>3) 方法（你要能講清楚）</w:t>
      </w:r>
    </w:p>
    <w:p>
      <w:pPr>
        <w:pStyle w:val="ListBullet"/>
      </w:pPr>
      <w:r>
        <w:t>研究問題：坦尚尼亞公債在什麼條件下「有利於成長」，什麼時候會轉為不穩定來源？</w:t>
      </w:r>
    </w:p>
    <w:p>
      <w:pPr>
        <w:pStyle w:val="ListBullet"/>
      </w:pPr>
      <w:r>
        <w:t>資料：2000/2003–2023（文中摘要與方法段落略有不同表述；以季度資料為主，約 83 個觀測）。</w:t>
      </w:r>
    </w:p>
    <w:p>
      <w:pPr>
        <w:pStyle w:val="ListBullet"/>
      </w:pPr>
      <w:r>
        <w:t>方法：Threshold VAR（TVAR）非線性門檻模型，將「債務低於/高於門檻」分成兩個 regime，再看對 GDP growth、通膨、匯率、利率等衝擊反應。</w:t>
      </w:r>
    </w:p>
    <w:p>
      <w:pPr>
        <w:pStyle w:val="ListBullet"/>
      </w:pPr>
      <w:r>
        <w:t>門檻檢定：Wald test 顯示門檻效果顯著（文中例：F=29.49, p=0.0000）。</w:t>
      </w:r>
    </w:p>
    <w:p>
      <w:pPr>
        <w:pStyle w:val="ListBullet"/>
      </w:pPr>
      <w:r>
        <w:t>變數：Total public debt、budget deficit、GDP growth、interest rate、inflation、exchange rate、crude oil price（外部衝擊）。</w:t>
      </w:r>
    </w:p>
    <w:p>
      <w:pPr>
        <w:pStyle w:val="Heading1"/>
      </w:pPr>
      <w:r>
        <w:t>4) 主要發現（怎麼讀才有用）</w:t>
      </w:r>
    </w:p>
    <w:p>
      <w:pPr>
        <w:pStyle w:val="ListBullet"/>
      </w:pPr>
      <w:r>
        <w:t>存在「安全債務區」（safe debt zone）：債務低於門檻時，債務對成長有正面貢獻且不致引發負面宏觀效果。</w:t>
      </w:r>
    </w:p>
    <w:p>
      <w:pPr>
        <w:pStyle w:val="ListBullet"/>
      </w:pPr>
      <w:r>
        <w:t>跨過門檻後：債務變成宏觀不穩定來源 → 通膨上升、貨幣貶值、利率走高、GDP growth 放緩。</w:t>
      </w:r>
    </w:p>
    <w:p>
      <w:pPr>
        <w:pStyle w:val="ListBullet"/>
      </w:pPr>
      <w:r>
        <w:t>政策互動：高債環境下容易出現 fiscal dominance，貨幣政策效果變弱；外部衝擊（如油價）放大效果更明顯。</w:t>
      </w:r>
    </w:p>
    <w:p>
      <w:pPr>
        <w:pStyle w:val="ListBullet"/>
      </w:pPr>
      <w:r>
        <w:t>研究限制（作者也提）：TVAR 描述的是動態關聯，不一定是結構性因果；且把債務當成同質存量，未拆 domestic/external 或 concessional/commercial。</w:t>
      </w:r>
    </w:p>
    <w:p>
      <w:pPr>
        <w:pStyle w:val="Heading1"/>
      </w:pPr>
      <w:r>
        <w:t>5) 政策含意（可直接用在宏觀/市場解讀）</w:t>
      </w:r>
    </w:p>
    <w:p>
      <w:pPr>
        <w:pStyle w:val="ListBullet"/>
      </w:pPr>
      <w:r>
        <w:t>建立明確、資料驅動的「債務上限/天花板」（debt ceiling），避免跨過門檻進入不穩定 regime。</w:t>
      </w:r>
    </w:p>
    <w:p>
      <w:pPr>
        <w:pStyle w:val="ListBullet"/>
      </w:pPr>
      <w:r>
        <w:t>在高債期強化財政紀律：控赤字、強化稅收、削減非必要支出。</w:t>
      </w:r>
    </w:p>
    <w:p>
      <w:pPr>
        <w:pStyle w:val="ListBullet"/>
      </w:pPr>
      <w:r>
        <w:t>加強財政×貨幣協調：高債時央行單靠升降息難穩通膨與匯率。</w:t>
      </w:r>
    </w:p>
    <w:p>
      <w:pPr>
        <w:pStyle w:val="ListBullet"/>
      </w:pPr>
      <w:r>
        <w:t>強化外匯存底與抗外部衝擊緩衝；並提高債務透明與監督（獨立債務管理辦公室等）。</w:t>
      </w:r>
    </w:p>
    <w:p>
      <w:pPr>
        <w:pStyle w:val="Heading1"/>
      </w:pPr>
      <w:r>
        <w:t>6) 內化成 MarketJournal 技能（可複用框架）</w:t>
      </w:r>
    </w:p>
    <w:p>
      <w:pPr>
        <w:pStyle w:val="ListBullet"/>
      </w:pPr>
      <w:r>
        <w:t>【債務不是線性】市場分析要有「門檻思維」：同樣的加債，在低債區是投資；在高債區是危機放大器。</w:t>
      </w:r>
    </w:p>
    <w:p>
      <w:pPr>
        <w:pStyle w:val="ListBullet"/>
      </w:pPr>
      <w:r>
        <w:t>【高債=政策失靈風險】當債務高、通膨高、匯率貶，央行工具會變鈍；要把 fiscal dominance 納入情境推演。</w:t>
      </w:r>
    </w:p>
    <w:p>
      <w:pPr>
        <w:pStyle w:val="ListBullet"/>
      </w:pPr>
      <w:r>
        <w:t>【外部衝擊放大器】高債時油價/匯率 shock 會更痛；這會直接影響風險資產的尾部風險（tail risk）。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