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A565FE" w14:textId="77777777" w:rsidR="005D65C3" w:rsidRDefault="00000000">
      <w:pPr>
        <w:spacing w:before="240" w:line="288" w:lineRule="auto"/>
      </w:pPr>
      <w:bookmarkStart w:id="0" w:name="weekly_newsletter"/>
      <w:r>
        <w:rPr>
          <w:b/>
          <w:sz w:val="56"/>
        </w:rPr>
        <w:t>Weekly Newsletter</w:t>
      </w:r>
      <w:bookmarkEnd w:id="0"/>
    </w:p>
    <w:p w14:paraId="3246828A" w14:textId="77777777" w:rsidR="005D65C3" w:rsidRDefault="00000000">
      <w:pPr>
        <w:spacing w:before="240" w:line="271" w:lineRule="auto"/>
      </w:pPr>
      <w:bookmarkStart w:id="1" w:name="enterprise_valuation_group"/>
      <w:r>
        <w:rPr>
          <w:b/>
          <w:sz w:val="42"/>
        </w:rPr>
        <w:t>Enterprise Valuation Group</w:t>
      </w:r>
      <w:bookmarkEnd w:id="1"/>
    </w:p>
    <w:p w14:paraId="560AA3A0" w14:textId="77777777" w:rsidR="005D65C3" w:rsidRDefault="00000000">
      <w:pPr>
        <w:spacing w:before="240" w:line="271" w:lineRule="auto"/>
      </w:pPr>
      <w:bookmarkStart w:id="2" w:name="february_23_2026_march_3_2026"/>
      <w:r>
        <w:rPr>
          <w:b/>
          <w:sz w:val="33"/>
        </w:rPr>
        <w:t>February 23, 2026 - March 3, 2026</w:t>
      </w:r>
      <w:bookmarkEnd w:id="2"/>
    </w:p>
    <w:p w14:paraId="71341381" w14:textId="77777777" w:rsidR="005D65C3" w:rsidRDefault="00FB77E5">
      <w:r>
        <w:rPr>
          <w:noProof/>
        </w:rPr>
        <w:pict w14:anchorId="3BCD2305">
          <v:rect id="_x0000_i1030" alt="" style="width:434.5pt;height:.05pt;mso-width-percent:0;mso-height-percent:0;mso-width-percent:0;mso-height-percent:0" o:hralign="center" o:hrstd="t" o:hr="t"/>
        </w:pict>
      </w:r>
    </w:p>
    <w:p w14:paraId="75DD28A8" w14:textId="3EB81CD0" w:rsidR="005D65C3" w:rsidRDefault="00514E1D">
      <w:pPr>
        <w:spacing w:before="240" w:line="271" w:lineRule="auto"/>
      </w:pPr>
      <w:bookmarkStart w:id="3" w:name="middle_east_in_crisis_oil_soars"/>
      <w:r>
        <w:rPr>
          <w:rFonts w:ascii="Microsoft YaHei" w:eastAsia="Microsoft YaHei" w:hAnsi="Microsoft YaHei" w:cs="Microsoft YaHei" w:hint="eastAsia"/>
          <w:b/>
          <w:sz w:val="42"/>
          <w:lang w:eastAsia="zh-CN"/>
        </w:rPr>
        <w:t>（Cover</w:t>
      </w:r>
      <w:r>
        <w:rPr>
          <w:rFonts w:ascii="Microsoft YaHei" w:eastAsia="Microsoft YaHei" w:hAnsi="Microsoft YaHei" w:cs="Microsoft YaHei"/>
          <w:b/>
          <w:sz w:val="42"/>
          <w:lang w:eastAsia="zh-CN"/>
        </w:rPr>
        <w:t xml:space="preserve"> Story）</w:t>
      </w:r>
      <w:r w:rsidR="00000000">
        <w:rPr>
          <w:b/>
          <w:sz w:val="42"/>
        </w:rPr>
        <w:t>Middle East in Crisis, Oil Soars</w:t>
      </w:r>
      <w:bookmarkEnd w:id="3"/>
    </w:p>
    <w:p w14:paraId="406DAB58" w14:textId="77777777" w:rsidR="005D65C3" w:rsidRDefault="00000000">
      <w:pPr>
        <w:spacing w:after="210"/>
      </w:pPr>
      <w:r>
        <w:t>In the early hours of Saturday, February 28th, the United States and Israel launched a joint attack on Iran in an operation the US called "Epic Fury" and Israel called "Roaring Lion". The strikes targeted key officials, military commanders, and facilities and included the assassination of Iran's Supreme Leader, Ali Khamenei.</w:t>
      </w:r>
    </w:p>
    <w:p w14:paraId="4A53219D" w14:textId="77777777" w:rsidR="005D65C3" w:rsidRDefault="00000000">
      <w:pPr>
        <w:spacing w:after="210"/>
      </w:pPr>
      <w:r>
        <w:t>With uncertainty ahead many have already keyed in on the current effects the conflict is having on the Strait of Hormuz. The Strait of Hormuz is a vital waterway on Iran's southern border to maritime trade. Approximately 20 million barrels of oil pass through the Strait of Hormuz each day representing 20% of global oil demand. Long term shutdown of the Strait could have serious consequences to global markets with some speculating a long term shutdown would lead to a global recession.</w:t>
      </w:r>
    </w:p>
    <w:p w14:paraId="723D6B49" w14:textId="77777777" w:rsidR="005D65C3" w:rsidRDefault="00000000">
      <w:pPr>
        <w:spacing w:after="210"/>
      </w:pPr>
      <w:r>
        <w:t>Before markets even reopened for the week, analysts were already bracing for a sharp surge. Oil futures now continue to surge following markets reopening Sunday night.</w:t>
      </w:r>
    </w:p>
    <w:p w14:paraId="3949B4E6" w14:textId="77777777" w:rsidR="005D65C3" w:rsidRDefault="00FB77E5">
      <w:r>
        <w:rPr>
          <w:noProof/>
        </w:rPr>
        <w:pict w14:anchorId="75BA2576">
          <v:rect id="_x0000_i1029" alt="" style="width:434.5pt;height:.05pt;mso-width-percent:0;mso-height-percent:0;mso-width-percent:0;mso-height-percent:0" o:hralign="center" o:hrstd="t" o:hr="t"/>
        </w:pict>
      </w:r>
    </w:p>
    <w:p w14:paraId="5BADAC40" w14:textId="6CBD39FB" w:rsidR="005D65C3" w:rsidRDefault="00514E1D">
      <w:pPr>
        <w:spacing w:before="240" w:line="271" w:lineRule="auto"/>
      </w:pPr>
      <w:bookmarkStart w:id="4" w:name="will_stripe_acquire_paypal"/>
      <w:r>
        <w:rPr>
          <w:rFonts w:ascii="Microsoft YaHei" w:eastAsia="Microsoft YaHei" w:hAnsi="Microsoft YaHei" w:cs="Microsoft YaHei" w:hint="eastAsia"/>
          <w:b/>
          <w:sz w:val="42"/>
          <w:lang w:eastAsia="zh-CN"/>
        </w:rPr>
        <w:t xml:space="preserve">（M&amp;A） </w:t>
      </w:r>
      <w:r w:rsidR="00000000">
        <w:rPr>
          <w:b/>
          <w:sz w:val="42"/>
        </w:rPr>
        <w:t>Will Stripe Acquire PayPal?</w:t>
      </w:r>
      <w:bookmarkEnd w:id="4"/>
    </w:p>
    <w:p w14:paraId="30B60524" w14:textId="77777777" w:rsidR="005D65C3" w:rsidRDefault="00000000">
      <w:pPr>
        <w:spacing w:after="210"/>
      </w:pPr>
      <w:r>
        <w:rPr>
          <w:rFonts w:eastAsia="Georgia" w:hAnsi="Georgia" w:cs="Georgia"/>
        </w:rPr>
        <w:t>Stripe has expressed preliminary interest in acquiring all or parts of PayPal (Nasdaq: PYPL), jolting a fintech landscape that, just four years ago, saw PayPal the platform winner of contactless payments. Stripe now carries a private valuation of $159 billion, up 74% year on year, while PayPal trades near a $40 billion market cap and less than 10x earnings—almost a tenth of its $360 billion peak valuation mid-pandemic. The irony is stark: the former disruptor of the 1990s is suddenly being eyed for recovery value.</w:t>
      </w:r>
    </w:p>
    <w:p w14:paraId="51F01383" w14:textId="77777777" w:rsidR="005D65C3" w:rsidRDefault="00000000">
      <w:pPr>
        <w:spacing w:before="240" w:line="271" w:lineRule="auto"/>
      </w:pPr>
      <w:bookmarkStart w:id="5" w:name="paypal_s_rise_and_fall"/>
      <w:r>
        <w:rPr>
          <w:b/>
          <w:sz w:val="33"/>
        </w:rPr>
        <w:t>PayPal's Rise and Fall</w:t>
      </w:r>
      <w:bookmarkEnd w:id="5"/>
    </w:p>
    <w:p w14:paraId="022975D7" w14:textId="77777777" w:rsidR="005D65C3" w:rsidRDefault="00000000">
      <w:pPr>
        <w:spacing w:after="210"/>
      </w:pPr>
      <w:r>
        <w:rPr>
          <w:rFonts w:eastAsia="Georgia" w:hAnsi="Georgia" w:cs="Georgia"/>
        </w:rPr>
        <w:t xml:space="preserve">PayPal was founded in Silicon Valley in the 1990s by a "mafia crew"—including Elon Musk, Peter Thiel, LinkedIn founder Hoffman, and Trump's crypto tzar Sacks—that set out to disrupt the global card network. The company quickly built a two-way platform by doing what banks would not: underwriting small online merchants, offering P2P transfers to acquire consumers, then routing them to merchant checkout. However, over time, roughly 90% of </w:t>
      </w:r>
      <w:r>
        <w:rPr>
          <w:rFonts w:eastAsia="Georgia" w:hAnsi="Georgia" w:cs="Georgia"/>
        </w:rPr>
        <w:lastRenderedPageBreak/>
        <w:t>PayPal's volume became card-funded, leaving it a commoditized layer atop Visa and Mastercard, monetizing via scale-driven fee spreads and higher-margin ACH pulls from consumer bank accounts.</w:t>
      </w:r>
    </w:p>
    <w:p w14:paraId="0B9A6624" w14:textId="77777777" w:rsidR="005D65C3" w:rsidRDefault="00000000">
      <w:pPr>
        <w:spacing w:after="210"/>
      </w:pPr>
      <w:r>
        <w:t>After eBay bought PayPal for $1.5 billion in 2002 and spun it off in 2015, PayPal tried to extend its reach with acquisitions like Braintree (which included Venmo), Xoom (cross-border transfers), and Bill Me Later (BNPL). Due to poor integration, the attempt to become a consumer superapp culminated in losing a war on all fronts. Braintree drove 40% CAGR volume growth, but at very low margins, running a loss-leader strategy in acquiring large-enterprise clients. The bet was that cheap processing would pull high-margin wallet and credit products through. Apple Pay's rise, with its much larger and wealthier user base, has since eliminated that strategy. By July 2021, PayPal's market cap peaked near $360 billion at over 20x forward earnings; from Q3 2021 to mid-2022, operating margins collapsed from 23% to 8%, and the market progressively marked it down from "platform winner" to "cheap breakup/buyout option."</w:t>
      </w:r>
    </w:p>
    <w:p w14:paraId="3D4D2CED" w14:textId="77777777" w:rsidR="005D65C3" w:rsidRDefault="00000000">
      <w:pPr>
        <w:spacing w:before="240" w:line="271" w:lineRule="auto"/>
      </w:pPr>
      <w:bookmarkStart w:id="6" w:name="strategic_rationale_for_stripe"/>
      <w:r>
        <w:rPr>
          <w:b/>
          <w:sz w:val="33"/>
        </w:rPr>
        <w:t>Strategic Rationale for Stripe</w:t>
      </w:r>
      <w:bookmarkEnd w:id="6"/>
    </w:p>
    <w:p w14:paraId="54C15342" w14:textId="77777777" w:rsidR="005D65C3" w:rsidRDefault="00000000">
      <w:pPr>
        <w:spacing w:after="210"/>
      </w:pPr>
      <w:r>
        <w:t>PayPal's struggles highlight why Stripe's consolidation path is so compelling. Stripe dominates the merchant-focused side of online payments, while PayPal leads the consumer-facing segment with its strong P2P network and BNPL business. In an industry where it's notoriously hard to build a truly bidirectional platform from scratch, a merger between the two would create a behemoth with over 60% market share.</w:t>
      </w:r>
    </w:p>
    <w:p w14:paraId="17A3ED5C" w14:textId="77777777" w:rsidR="005D65C3" w:rsidRDefault="00000000">
      <w:pPr>
        <w:spacing w:after="210"/>
      </w:pPr>
      <w:r>
        <w:rPr>
          <w:rFonts w:eastAsia="Georgia" w:hAnsi="Georgia" w:cs="Georgia"/>
        </w:rPr>
        <w:t>Braintree overlaps nicely with Stripe's core merchant-facing franchise, although Braintree's margins—44% of PayPal TPV for only 8% of gross profit—highlight that a combined entity must rationalize economics. On the stablecoin front, Stripe has bought crypto infrastructure players like Bridge and Privy, while PayPal has launched its PYUSD stablecoin and supports crypto trading; together they can offer issuance, storage, payments, and settlement across one stack, especially in cross-border flows.</w:t>
      </w:r>
    </w:p>
    <w:p w14:paraId="06D5A8DC" w14:textId="77777777" w:rsidR="005D65C3" w:rsidRDefault="00000000">
      <w:pPr>
        <w:spacing w:after="210"/>
      </w:pPr>
      <w:r>
        <w:t>As commerce shifts toward agent-driven transactions, Stripe is advancing the ICP protocol, while PayPal contributes powerful distribution through its partnerships with OpenAI and Anthropic. If Stripe could layer PayPal's reach and consumer trust onto its developer-centric infrastructure, the combined platform could create a genuinely two-sided stablecoin-based network built to support the AI economy.</w:t>
      </w:r>
    </w:p>
    <w:p w14:paraId="4DBBA982" w14:textId="77777777" w:rsidR="005D65C3" w:rsidRDefault="00FB77E5">
      <w:r>
        <w:rPr>
          <w:noProof/>
        </w:rPr>
        <w:pict w14:anchorId="7A0BEB44">
          <v:rect id="_x0000_i1028" alt="" style="width:434.5pt;height:.05pt;mso-width-percent:0;mso-height-percent:0;mso-width-percent:0;mso-height-percent:0" o:hralign="center" o:hrstd="t" o:hr="t"/>
        </w:pict>
      </w:r>
    </w:p>
    <w:p w14:paraId="3362B2CC" w14:textId="77777777" w:rsidR="005D65C3" w:rsidRDefault="00000000">
      <w:pPr>
        <w:spacing w:before="240" w:line="271" w:lineRule="auto"/>
      </w:pPr>
      <w:bookmarkStart w:id="7" w:name="markets_update"/>
      <w:r>
        <w:rPr>
          <w:b/>
          <w:sz w:val="42"/>
        </w:rPr>
        <w:t>Markets Update</w:t>
      </w:r>
      <w:bookmarkEnd w:id="7"/>
    </w:p>
    <w:p w14:paraId="6C721C64" w14:textId="77777777" w:rsidR="005D65C3" w:rsidRDefault="00000000">
      <w:pPr>
        <w:spacing w:before="240" w:line="271" w:lineRule="auto"/>
      </w:pPr>
      <w:bookmarkStart w:id="8" w:name="equities"/>
      <w:r>
        <w:rPr>
          <w:b/>
          <w:sz w:val="33"/>
        </w:rPr>
        <w:t>Equities</w:t>
      </w:r>
      <w:bookmarkEnd w:id="8"/>
    </w:p>
    <w:p w14:paraId="70B811D3" w14:textId="77777777" w:rsidR="005D65C3" w:rsidRDefault="00000000">
      <w:pPr>
        <w:spacing w:after="210"/>
      </w:pPr>
      <w:r>
        <w:rPr>
          <w:b/>
        </w:rPr>
        <w:t>Values for precious metals rise, Bitcoin's falls:</w:t>
      </w:r>
      <w:r>
        <w:rPr>
          <w:rFonts w:eastAsia="Georgia" w:hAnsi="Georgia" w:cs="Georgia"/>
        </w:rPr>
        <w:t xml:space="preserve"> Following the US-Israeli attacks on Iran, global markets have been unsettled—stocks fell and crude oil prices surged. Volatility has increased for currencies, as well as safe-haven assets. While gold, silver, and markets for precious metals will likely gain from the geopolitical shock, Bitcoin is likely to lose its appeal due to its high volatility.</w:t>
      </w:r>
    </w:p>
    <w:p w14:paraId="6090C243" w14:textId="77777777" w:rsidR="005D65C3" w:rsidRDefault="00000000">
      <w:pPr>
        <w:spacing w:after="210"/>
      </w:pPr>
      <w:r>
        <w:rPr>
          <w:b/>
        </w:rPr>
        <w:t>U.S equities categorized as "neutral":</w:t>
      </w:r>
      <w:r>
        <w:t xml:space="preserve"> UBS has announced that it has cut its recommended allocation to U.S. equities as neutral while conversely, growth for stock markets around the world has accelerated. U.S. investors have withdrawn money from U.S. markets due to weaker Big Tech returns and domestic policymaking.</w:t>
      </w:r>
    </w:p>
    <w:p w14:paraId="2C7972DC" w14:textId="77777777" w:rsidR="005D65C3" w:rsidRDefault="00000000">
      <w:pPr>
        <w:spacing w:after="210"/>
      </w:pPr>
      <w:r>
        <w:rPr>
          <w:b/>
        </w:rPr>
        <w:lastRenderedPageBreak/>
        <w:t>Drops in Gulf equities:</w:t>
      </w:r>
      <w:r>
        <w:t xml:space="preserve"> Investors in the Gulf states are bracing for volatility and threats to regional oil shipments and infrastructure. Kuwait and the UAE suspended trading, Qatar's main index experienced its largest drop since the pandemic, and Saudi Arabia's Tadawul's benchmark index fell significantly.</w:t>
      </w:r>
    </w:p>
    <w:p w14:paraId="4A3838B0" w14:textId="77777777" w:rsidR="005D65C3" w:rsidRDefault="00000000">
      <w:pPr>
        <w:spacing w:after="210"/>
      </w:pPr>
      <w:r>
        <w:t>In the Gulf states, equity markets are expected to experience heightened volatility as rising geopolitical tensions drive up risk premiums.</w:t>
      </w:r>
    </w:p>
    <w:p w14:paraId="69E39ED0" w14:textId="77777777" w:rsidR="005D65C3" w:rsidRDefault="00000000">
      <w:pPr>
        <w:spacing w:before="240" w:line="271" w:lineRule="auto"/>
      </w:pPr>
      <w:bookmarkStart w:id="9" w:name="march_2_intraday_winners"/>
      <w:r>
        <w:rPr>
          <w:b/>
          <w:sz w:val="28"/>
        </w:rPr>
        <w:t>March 2 Intraday Winners</w:t>
      </w:r>
      <w:bookmarkEnd w:id="9"/>
    </w:p>
    <w:p w14:paraId="5C507A76" w14:textId="77777777" w:rsidR="005D65C3" w:rsidRDefault="00000000">
      <w:pPr>
        <w:spacing w:after="210"/>
      </w:pPr>
      <w:r>
        <w:t>The attacked lifted prime defense names, boosting their quarter-long rally. Investors moved into Nvidia, the "safe haven compounder", away from cyclicals.</w:t>
      </w:r>
    </w:p>
    <w:p w14:paraId="1676E619" w14:textId="77777777" w:rsidR="005D65C3" w:rsidRDefault="00000000">
      <w:pPr>
        <w:spacing w:before="240" w:line="271" w:lineRule="auto"/>
      </w:pPr>
      <w:bookmarkStart w:id="10" w:name="march_2_intraday_losers"/>
      <w:r>
        <w:rPr>
          <w:b/>
          <w:sz w:val="28"/>
        </w:rPr>
        <w:t>March 2 Intraday Losers</w:t>
      </w:r>
      <w:bookmarkEnd w:id="10"/>
    </w:p>
    <w:p w14:paraId="6A660FC4" w14:textId="77777777" w:rsidR="005D65C3" w:rsidRDefault="00000000">
      <w:pPr>
        <w:spacing w:after="210"/>
      </w:pPr>
      <w:r>
        <w:t>Fuel-intensive, travel-exposed stocks sold off on the combination of higher jet fuel costs and heightened route/booking risk tied to the conflict.</w:t>
      </w:r>
    </w:p>
    <w:p w14:paraId="6877C55E" w14:textId="77777777" w:rsidR="005D65C3" w:rsidRDefault="00000000">
      <w:pPr>
        <w:spacing w:before="240" w:line="271" w:lineRule="auto"/>
      </w:pPr>
      <w:bookmarkStart w:id="11" w:name="sector_and_basket_overview"/>
      <w:r>
        <w:rPr>
          <w:b/>
          <w:sz w:val="28"/>
        </w:rPr>
        <w:t>Sector and Basket Overview</w:t>
      </w:r>
      <w:bookmarkEnd w:id="11"/>
    </w:p>
    <w:p w14:paraId="55DB87F4" w14:textId="77777777" w:rsidR="005D65C3" w:rsidRDefault="00000000">
      <w:pPr>
        <w:spacing w:after="210"/>
      </w:pPr>
      <w:r>
        <w:t>Value sectors (Energy, Materials, Staples, Industrials) ripped higher YTD, with gains in the mid-teens to low-20s, so their "cheap" status is less extreme even though they still trade at discounts to historical norms.</w:t>
      </w:r>
    </w:p>
    <w:p w14:paraId="61FB8F8E" w14:textId="77777777" w:rsidR="005D65C3" w:rsidRDefault="00000000">
      <w:pPr>
        <w:spacing w:after="210"/>
      </w:pPr>
      <w:r>
        <w:t>Growth/mega-cap tech has lagged or even printed small negatives YTD, so the valuation gap versus value has compressed a bit, but Tech still sits clearly above its own history and above the market on both metrics.</w:t>
      </w:r>
    </w:p>
    <w:p w14:paraId="0ABF145B" w14:textId="77777777" w:rsidR="005D65C3" w:rsidRDefault="00000000">
      <w:pPr>
        <w:spacing w:after="210"/>
      </w:pPr>
      <w:r>
        <w:t>Financials have rerated off the lows but remain one of the cleaner relative-value plays (P/B well below the S&amp;P's), while small/mid-caps have outperformed just enough that the very deep discounts in early January have moved closer to "cheap but not distressed."</w:t>
      </w:r>
    </w:p>
    <w:p w14:paraId="5F7C8B66" w14:textId="77777777" w:rsidR="005D65C3" w:rsidRDefault="00000000">
      <w:pPr>
        <w:spacing w:after="210"/>
      </w:pPr>
      <w:r>
        <w:t>Large-cap US is still expensive vs history, but the premium has narrowed as value sectors and some mid/small caps outperformed YTD. Small caps have rallied off distressed levels, but headline P/E remains noisy because earnings are still soft.</w:t>
      </w:r>
    </w:p>
    <w:p w14:paraId="47FCA591" w14:textId="77777777" w:rsidR="005D65C3" w:rsidRDefault="00000000">
      <w:pPr>
        <w:spacing w:before="240" w:line="271" w:lineRule="auto"/>
      </w:pPr>
      <w:bookmarkStart w:id="12" w:name="rates"/>
      <w:r>
        <w:rPr>
          <w:b/>
          <w:sz w:val="33"/>
        </w:rPr>
        <w:t>Rates</w:t>
      </w:r>
      <w:bookmarkEnd w:id="12"/>
    </w:p>
    <w:p w14:paraId="42687987" w14:textId="77777777" w:rsidR="005D65C3" w:rsidRDefault="00000000">
      <w:pPr>
        <w:spacing w:after="210"/>
      </w:pPr>
      <w:r>
        <w:t>Almost 1-1 pass through to prices at the pump poses risks to headline inflation, could push the Fed to delay cuts, driving a 2-year led bear flattener.</w:t>
      </w:r>
    </w:p>
    <w:p w14:paraId="3D0AFF51" w14:textId="77777777" w:rsidR="005D65C3" w:rsidRDefault="00000000">
      <w:pPr>
        <w:spacing w:after="210"/>
      </w:pPr>
      <w:r>
        <w:t>Breakevens and real yields are both under pressure to reprice higher inflation risk, especially in the belly.</w:t>
      </w:r>
    </w:p>
    <w:p w14:paraId="69F1A702" w14:textId="77777777" w:rsidR="005D65C3" w:rsidRDefault="00000000">
      <w:pPr>
        <w:spacing w:after="210"/>
      </w:pPr>
      <w:r>
        <w:t>Stay lighter duration in the long end (reduce TY/US exposure or receive less in long-dated swaps) until the stagflation vs slowdown path is clearer.</w:t>
      </w:r>
    </w:p>
    <w:p w14:paraId="76A0D6BC" w14:textId="77777777" w:rsidR="005D65C3" w:rsidRDefault="00000000">
      <w:pPr>
        <w:spacing w:before="240" w:line="271" w:lineRule="auto"/>
      </w:pPr>
      <w:bookmarkStart w:id="13" w:name="foreign_exchange"/>
      <w:r>
        <w:rPr>
          <w:b/>
          <w:sz w:val="33"/>
        </w:rPr>
        <w:t>Foreign Exchange</w:t>
      </w:r>
      <w:bookmarkEnd w:id="13"/>
    </w:p>
    <w:p w14:paraId="135AD06D" w14:textId="77777777" w:rsidR="005D65C3" w:rsidRDefault="00000000">
      <w:pPr>
        <w:spacing w:after="210"/>
      </w:pPr>
      <w:r>
        <w:t>Charts cover exchange rate from Feb 26 to March 3.</w:t>
      </w:r>
    </w:p>
    <w:p w14:paraId="1DFAAF41" w14:textId="77777777" w:rsidR="005D65C3" w:rsidRDefault="00000000">
      <w:pPr>
        <w:spacing w:after="210"/>
      </w:pPr>
      <w:r>
        <w:rPr>
          <w:b/>
        </w:rPr>
        <w:t>USD/NOK:</w:t>
      </w:r>
      <w:r>
        <w:t xml:space="preserve"> Markets see Norway's strong external position as a cushion, but in the very short run the pair has moved more with DXY and global risk sentiment than with spot Brent.</w:t>
      </w:r>
    </w:p>
    <w:p w14:paraId="3522194B" w14:textId="77777777" w:rsidR="005D65C3" w:rsidRDefault="00000000">
      <w:pPr>
        <w:spacing w:after="210"/>
      </w:pPr>
      <w:r>
        <w:rPr>
          <w:b/>
        </w:rPr>
        <w:lastRenderedPageBreak/>
        <w:t>USD/EGP:</w:t>
      </w:r>
      <w:r>
        <w:t xml:space="preserve"> EGP has weakened as the conflict added another layer of risk premia to an already fragile external position, with markets nervous about tourism receipts, Suez-linked revenues and imported energy costs.</w:t>
      </w:r>
    </w:p>
    <w:p w14:paraId="7831336D" w14:textId="77777777" w:rsidR="005D65C3" w:rsidRDefault="00000000">
      <w:pPr>
        <w:spacing w:after="210"/>
      </w:pPr>
      <w:r>
        <w:rPr>
          <w:b/>
        </w:rPr>
        <w:t>USD/BRL:</w:t>
      </w:r>
      <w:r>
        <w:t xml:space="preserve"> The Iran shock lifted USD/BRL as global risk-off and a higher oil-driven inflation scare led markets to reassess the depth of Brazil's easing cycle and trim BRL-carry appetite.</w:t>
      </w:r>
    </w:p>
    <w:p w14:paraId="128ECCFE" w14:textId="77777777" w:rsidR="005D65C3" w:rsidRDefault="00000000">
      <w:pPr>
        <w:spacing w:after="210"/>
      </w:pPr>
      <w:r>
        <w:rPr>
          <w:b/>
        </w:rPr>
        <w:t>USD/CAD:</w:t>
      </w:r>
      <w:r>
        <w:t xml:space="preserve"> Higher oil and Canada's terms of trade are supportive, but the global rush into USD, equity selloff and proximity to US risk have kept USD/CAD grinding higher.</w:t>
      </w:r>
    </w:p>
    <w:p w14:paraId="0B5AF170" w14:textId="77777777" w:rsidR="005D65C3" w:rsidRDefault="00000000">
      <w:pPr>
        <w:spacing w:after="210"/>
      </w:pPr>
      <w:r>
        <w:rPr>
          <w:b/>
        </w:rPr>
        <w:t>CHF/USD:</w:t>
      </w:r>
      <w:r>
        <w:t xml:space="preserve"> The dollar has reclaimed top haven status and markets start to price a wider rate differential if the SNB leans dovish into an oil-shock slowdown.</w:t>
      </w:r>
    </w:p>
    <w:p w14:paraId="3AECFBE7" w14:textId="77777777" w:rsidR="005D65C3" w:rsidRDefault="00000000">
      <w:pPr>
        <w:spacing w:after="210"/>
      </w:pPr>
      <w:r>
        <w:rPr>
          <w:b/>
        </w:rPr>
        <w:t>EUR/USD:</w:t>
      </w:r>
      <w:r>
        <w:t xml:space="preserve"> The Iran conflict revived stagflation fears for an energy-import-dependent Eurozone, widening the perceived policy gap versus a Fed constrained from cutting quickly.</w:t>
      </w:r>
    </w:p>
    <w:p w14:paraId="308898D2" w14:textId="77777777" w:rsidR="005D65C3" w:rsidRDefault="00000000">
      <w:pPr>
        <w:spacing w:before="240" w:line="271" w:lineRule="auto"/>
      </w:pPr>
      <w:bookmarkStart w:id="14" w:name="commodities"/>
      <w:r>
        <w:rPr>
          <w:b/>
          <w:sz w:val="33"/>
        </w:rPr>
        <w:t>Commodities</w:t>
      </w:r>
      <w:bookmarkEnd w:id="14"/>
    </w:p>
    <w:p w14:paraId="035B8A35" w14:textId="77777777" w:rsidR="005D65C3" w:rsidRDefault="00000000">
      <w:pPr>
        <w:spacing w:after="210"/>
      </w:pPr>
      <w:r>
        <w:rPr>
          <w:b/>
        </w:rPr>
        <w:t>Gold at $5,200/oz</w:t>
      </w:r>
    </w:p>
    <w:p w14:paraId="69D1C587" w14:textId="77777777" w:rsidR="005D65C3" w:rsidRDefault="00000000">
      <w:pPr>
        <w:spacing w:after="210"/>
      </w:pPr>
      <w:r>
        <w:t>Gold gave back part of the spike as the market shifted from "war hedge" to a more nuanced view that the conflict might stay regionally contained. At the same time the dollar surged on its own safe-haven bid and traders trimmed near-term Fed-cut expectations because of the oil shock, so a stronger USD and higher real-rate path mechanically weighed on gold after the initial surge.</w:t>
      </w:r>
    </w:p>
    <w:p w14:paraId="2F93C7AD" w14:textId="77777777" w:rsidR="005D65C3" w:rsidRDefault="00FB77E5">
      <w:r>
        <w:rPr>
          <w:noProof/>
        </w:rPr>
        <w:pict w14:anchorId="586B766E">
          <v:rect id="_x0000_i1027" alt="" style="width:434.5pt;height:.05pt;mso-width-percent:0;mso-height-percent:0;mso-width-percent:0;mso-height-percent:0" o:hralign="center" o:hrstd="t" o:hr="t"/>
        </w:pict>
      </w:r>
    </w:p>
    <w:p w14:paraId="53600672" w14:textId="77777777" w:rsidR="005D65C3" w:rsidRDefault="00000000">
      <w:pPr>
        <w:spacing w:before="240" w:line="271" w:lineRule="auto"/>
      </w:pPr>
      <w:bookmarkStart w:id="15" w:name="ai_and_crypto_corner"/>
      <w:r>
        <w:rPr>
          <w:b/>
          <w:sz w:val="42"/>
        </w:rPr>
        <w:t>AI and Crypto Corner</w:t>
      </w:r>
      <w:bookmarkEnd w:id="15"/>
    </w:p>
    <w:p w14:paraId="25E43203" w14:textId="77777777" w:rsidR="005D65C3" w:rsidRDefault="00000000">
      <w:pPr>
        <w:spacing w:before="240" w:line="271" w:lineRule="auto"/>
      </w:pPr>
      <w:bookmarkStart w:id="16" w:name="anthropic_pentagon_standoff_and_o_b8fd68"/>
      <w:r>
        <w:rPr>
          <w:b/>
          <w:sz w:val="33"/>
        </w:rPr>
        <w:t>Anthropic-Pentagon Standoff and OpenAI's Rapid Response</w:t>
      </w:r>
      <w:bookmarkEnd w:id="16"/>
    </w:p>
    <w:p w14:paraId="3E5F5476" w14:textId="77777777" w:rsidR="005D65C3" w:rsidRDefault="00000000">
      <w:pPr>
        <w:spacing w:after="210"/>
      </w:pPr>
      <w:r>
        <w:t>One of the most dramatic corporate-government standoffs in recent memory concluded last Friday when President Trump banned all federal agencies from using Anthropic's AI products, and rival OpenAI announced a Pentagon deal within hours. For finance students, the saga raises important questions about AI company valuations, political risk, and what it means to do business with the US government in 2026.</w:t>
      </w:r>
    </w:p>
    <w:p w14:paraId="6A38159F" w14:textId="77777777" w:rsidR="005D65C3" w:rsidRDefault="00000000">
      <w:pPr>
        <w:spacing w:before="240" w:line="271" w:lineRule="auto"/>
      </w:pPr>
      <w:bookmarkStart w:id="17" w:name="how_it_fell_apart_and_how_openai_52decf"/>
      <w:r>
        <w:rPr>
          <w:b/>
          <w:sz w:val="28"/>
        </w:rPr>
        <w:t>How It Fell Apart and How OpenAI Moved In</w:t>
      </w:r>
      <w:bookmarkEnd w:id="17"/>
    </w:p>
    <w:p w14:paraId="04A25E0A" w14:textId="77777777" w:rsidR="005D65C3" w:rsidRDefault="00000000">
      <w:pPr>
        <w:spacing w:after="210"/>
      </w:pPr>
      <w:r>
        <w:t>The dispute centered on a $200 million Pentagon contract for Anthropic's Claude, the first AI system deployed on the military's classified network. The conflict came to a head when Defense Secretary Pete Hegseth gave Anthropic an ultimatum: allow Claude to be used "for all lawful purposes" including potential mass domestic surveillance and autonomous weapons or lose the contract.</w:t>
      </w:r>
    </w:p>
    <w:p w14:paraId="63FE60F9" w14:textId="77777777" w:rsidR="005D65C3" w:rsidRDefault="00000000">
      <w:pPr>
        <w:spacing w:after="210"/>
      </w:pPr>
      <w:r>
        <w:t xml:space="preserve">Anthropic held firm on both red lines, the deadline passed, and Trump directed every federal agency to immediately cease all use of Anthropic's technology. Within hours, OpenAI swooped in. Altman later admitted the deal was "definitely rushed" and that "the optics don't </w:t>
      </w:r>
      <w:r>
        <w:lastRenderedPageBreak/>
        <w:t>look good," but OpenAI had secured the contract structuring its language around "any lawful purpose" while claiming the same safety protections Anthropic had demanded in writing.</w:t>
      </w:r>
    </w:p>
    <w:p w14:paraId="30DB2B44" w14:textId="77777777" w:rsidR="005D65C3" w:rsidRDefault="00000000">
      <w:pPr>
        <w:spacing w:before="240" w:line="271" w:lineRule="auto"/>
      </w:pPr>
      <w:bookmarkStart w:id="18" w:name="what_it_means_for_anthropic"/>
      <w:r>
        <w:rPr>
          <w:b/>
          <w:sz w:val="28"/>
        </w:rPr>
        <w:t>What It Means for Anthropic</w:t>
      </w:r>
      <w:bookmarkEnd w:id="18"/>
    </w:p>
    <w:p w14:paraId="63179E60" w14:textId="77777777" w:rsidR="005D65C3" w:rsidRDefault="00000000">
      <w:pPr>
        <w:spacing w:after="210"/>
      </w:pPr>
      <w:r>
        <w:t>The fallout could be lasting. Legal analysts warned it could take years to resolve the supply chain designation in court, and that in the meantime, corporate legal teams at any Fortune 500 company with Pentagon exposure would be asking whether using Claude is worth the risk. Anthropic has vowed to sue, calling the designation "legally unsound" and a dangerous precedent for any American company that dares to negotiate limits with its own government. For finance students, the takeaway is clear: in today's political climate, how an AI company positions itself in Washington may matter just as much as the quality of its technology.</w:t>
      </w:r>
    </w:p>
    <w:p w14:paraId="1C23BE71" w14:textId="77777777" w:rsidR="005D65C3" w:rsidRDefault="00000000">
      <w:pPr>
        <w:spacing w:before="240" w:line="271" w:lineRule="auto"/>
      </w:pPr>
      <w:bookmarkStart w:id="19" w:name="circle_stock_jumps_35_intraday_on_b800d7"/>
      <w:r>
        <w:rPr>
          <w:b/>
          <w:sz w:val="33"/>
        </w:rPr>
        <w:t>Circle Stock Jumps 35% Intraday on Blowout Earnings</w:t>
      </w:r>
      <w:bookmarkEnd w:id="19"/>
    </w:p>
    <w:p w14:paraId="224DA84E" w14:textId="77777777" w:rsidR="005D65C3" w:rsidRDefault="00000000">
      <w:pPr>
        <w:spacing w:after="210"/>
      </w:pPr>
      <w:r>
        <w:t>USDC supply hit $75.3 billion, up 72 percent year over year, and onchain volume reached $11.9 trillion, up 247 percent. Revenue was $770 million, up 77 percent, and adjusted EBITDA was $167 million, up 412 percent. Growth is coming from deeper USDC integration at major exchanges, rising enterprise cross border flows with partners like Visa and Mastercard, and corporate treasury use through firms such as Intuit and Nubank.</w:t>
      </w:r>
    </w:p>
    <w:p w14:paraId="183E751B" w14:textId="77777777" w:rsidR="005D65C3" w:rsidRDefault="00000000">
      <w:pPr>
        <w:spacing w:before="240" w:line="271" w:lineRule="auto"/>
      </w:pPr>
      <w:bookmarkStart w:id="20" w:name="profitability_drivers"/>
      <w:r>
        <w:rPr>
          <w:b/>
          <w:sz w:val="28"/>
        </w:rPr>
        <w:t>Profitability Drivers</w:t>
      </w:r>
      <w:bookmarkEnd w:id="20"/>
    </w:p>
    <w:p w14:paraId="2F1F4C33" w14:textId="77777777" w:rsidR="005D65C3" w:rsidRDefault="00000000">
      <w:pPr>
        <w:spacing w:after="210"/>
      </w:pPr>
      <w:r>
        <w:t>Profitability is driven by interest on reserves and strong operating leverage. RLDC margin improved from 30 percent to 40.1 percent, and guidance implies about 40 percent RLDC margin with mid 40s to low 50s EBITDA margin in 2026.</w:t>
      </w:r>
    </w:p>
    <w:p w14:paraId="5EBB0DA1" w14:textId="77777777" w:rsidR="005D65C3" w:rsidRDefault="00000000">
      <w:pPr>
        <w:spacing w:after="210"/>
      </w:pPr>
      <w:r>
        <w:t>The risk is rate sensitivity, since almost all revenue still depends on reserve yields and each 100 basis point cut could hit margins meaningfully, though mid 20s to 30s EBITDA margins look achievable at neutral rates if USDC keeps scaling.</w:t>
      </w:r>
    </w:p>
    <w:p w14:paraId="4906AFCE" w14:textId="77777777" w:rsidR="005D65C3" w:rsidRDefault="00000000">
      <w:pPr>
        <w:spacing w:before="240" w:line="271" w:lineRule="auto"/>
      </w:pPr>
      <w:bookmarkStart w:id="21" w:name="platform_revenue_growth"/>
      <w:r>
        <w:rPr>
          <w:b/>
          <w:sz w:val="28"/>
        </w:rPr>
        <w:t>Platform Revenue Growth</w:t>
      </w:r>
      <w:bookmarkEnd w:id="21"/>
    </w:p>
    <w:p w14:paraId="20935545" w14:textId="77777777" w:rsidR="005D65C3" w:rsidRDefault="00000000">
      <w:pPr>
        <w:spacing w:after="210"/>
      </w:pPr>
      <w:r>
        <w:t>"Other revenue" reached $37 million in the quarter, around 5 percent of total, but grew about 15 times year over year and is guided to grow a further 36 to 55 percent. This line includes the Circle Payments Network, which already has over 50 institutions and several billion dollars of annualized volume, and tokenized funds and infrastructure services for institutional collateral and treasury. In a long term bull case, these platform revenues could reach 20 to 30 percent of total revenue at software like margins and make Circle less dependent on the rate cycle while anchoring stablecoins as a core layer of the internet financial system.</w:t>
      </w:r>
    </w:p>
    <w:p w14:paraId="4F3AECF7" w14:textId="77777777" w:rsidR="005D65C3" w:rsidRDefault="00000000">
      <w:pPr>
        <w:spacing w:after="210"/>
      </w:pPr>
      <w:r>
        <w:t>Circle's results suggest a plausible future in which regulated stablecoins and tokenized funds become an important complement to today's payment and settlement rails, gradually handling a larger share of cross border flows, market settlement, and corporate treasury activity alongside traditional banking infrastructure.</w:t>
      </w:r>
    </w:p>
    <w:p w14:paraId="22A1A2B6" w14:textId="77777777" w:rsidR="005D65C3" w:rsidRDefault="00FB77E5">
      <w:r>
        <w:rPr>
          <w:noProof/>
        </w:rPr>
        <w:pict w14:anchorId="1F394B41">
          <v:rect id="_x0000_i1026" alt="" style="width:434.5pt;height:.05pt;mso-width-percent:0;mso-height-percent:0;mso-width-percent:0;mso-height-percent:0" o:hralign="center" o:hrstd="t" o:hr="t"/>
        </w:pict>
      </w:r>
    </w:p>
    <w:p w14:paraId="2DEBF7EF" w14:textId="77777777" w:rsidR="005D65C3" w:rsidRDefault="00000000">
      <w:pPr>
        <w:spacing w:before="240" w:line="271" w:lineRule="auto"/>
      </w:pPr>
      <w:bookmarkStart w:id="22" w:name="weekly_technicals"/>
      <w:r>
        <w:rPr>
          <w:b/>
          <w:sz w:val="42"/>
        </w:rPr>
        <w:t>Weekly Technicals</w:t>
      </w:r>
      <w:bookmarkEnd w:id="22"/>
    </w:p>
    <w:p w14:paraId="5093612B" w14:textId="77777777" w:rsidR="005D65C3" w:rsidRDefault="00000000">
      <w:pPr>
        <w:spacing w:before="240" w:line="271" w:lineRule="auto"/>
      </w:pPr>
      <w:bookmarkStart w:id="23" w:name="investment_banking"/>
      <w:r>
        <w:rPr>
          <w:b/>
          <w:sz w:val="33"/>
        </w:rPr>
        <w:lastRenderedPageBreak/>
        <w:t>Investment Banking</w:t>
      </w:r>
      <w:bookmarkEnd w:id="23"/>
    </w:p>
    <w:p w14:paraId="41038431" w14:textId="77777777" w:rsidR="005D65C3" w:rsidRDefault="00000000">
      <w:pPr>
        <w:spacing w:after="210"/>
      </w:pPr>
      <w:r>
        <w:rPr>
          <w:i/>
        </w:rPr>
        <w:t>How would you value an oil company like Chevron? What about a copper mine? A copper mine in Zimbabwe?</w:t>
      </w:r>
    </w:p>
    <w:p w14:paraId="3EF30FE9" w14:textId="77777777" w:rsidR="005D65C3" w:rsidRDefault="00000000">
      <w:pPr>
        <w:spacing w:before="240" w:line="271" w:lineRule="auto"/>
      </w:pPr>
      <w:bookmarkStart w:id="24" w:name="sales_and_trading"/>
      <w:r>
        <w:rPr>
          <w:b/>
          <w:sz w:val="33"/>
        </w:rPr>
        <w:t>Sales and Trading</w:t>
      </w:r>
      <w:bookmarkEnd w:id="24"/>
    </w:p>
    <w:p w14:paraId="0DB63BC2" w14:textId="77777777" w:rsidR="005D65C3" w:rsidRDefault="00000000">
      <w:pPr>
        <w:spacing w:after="210"/>
      </w:pPr>
      <w:r>
        <w:rPr>
          <w:i/>
        </w:rPr>
        <w:t>Volatility usually fades when earnings season passes. How would you express short volatility with options?</w:t>
      </w:r>
    </w:p>
    <w:p w14:paraId="231F3A59" w14:textId="77777777" w:rsidR="005D65C3" w:rsidRDefault="00000000">
      <w:pPr>
        <w:spacing w:before="240" w:line="271" w:lineRule="auto"/>
      </w:pPr>
      <w:bookmarkStart w:id="25" w:name="brain_teaser"/>
      <w:r>
        <w:rPr>
          <w:b/>
          <w:sz w:val="33"/>
        </w:rPr>
        <w:t>Brain Teaser</w:t>
      </w:r>
      <w:bookmarkEnd w:id="25"/>
    </w:p>
    <w:p w14:paraId="000E3D01" w14:textId="77777777" w:rsidR="005D65C3" w:rsidRDefault="00000000">
      <w:pPr>
        <w:spacing w:after="210"/>
      </w:pPr>
      <w:r>
        <w:rPr>
          <w:i/>
        </w:rPr>
        <w:t>You throw a bunch of dice and want to get exactly one six. What number of dice maximizes this probability?</w:t>
      </w:r>
    </w:p>
    <w:p w14:paraId="3D470C95" w14:textId="77777777" w:rsidR="005D65C3" w:rsidRDefault="00FB77E5">
      <w:r>
        <w:rPr>
          <w:noProof/>
        </w:rPr>
        <w:pict w14:anchorId="0F4C3205">
          <v:rect id="_x0000_i1025" alt="" style="width:434.5pt;height:.05pt;mso-width-percent:0;mso-height-percent:0;mso-width-percent:0;mso-height-percent:0" o:hralign="center" o:hrstd="t" o:hr="t"/>
        </w:pict>
      </w:r>
    </w:p>
    <w:p w14:paraId="69BA72F7" w14:textId="77777777" w:rsidR="005D65C3" w:rsidRDefault="00000000">
      <w:pPr>
        <w:spacing w:before="240" w:line="271" w:lineRule="auto"/>
      </w:pPr>
      <w:bookmarkStart w:id="26" w:name="meet_the_newsletter_team"/>
      <w:r>
        <w:rPr>
          <w:b/>
          <w:sz w:val="42"/>
        </w:rPr>
        <w:t>Meet the Newsletter Team</w:t>
      </w:r>
      <w:bookmarkEnd w:id="26"/>
    </w:p>
    <w:p w14:paraId="30D9561B" w14:textId="77777777" w:rsidR="005D65C3" w:rsidRDefault="00000000">
      <w:pPr>
        <w:spacing w:after="210"/>
      </w:pPr>
      <w:r>
        <w:rPr>
          <w:b/>
        </w:rPr>
        <w:t>Julia Zhang</w:t>
      </w:r>
      <w:r>
        <w:br/>
        <w:t>CC'28 FinEcon</w:t>
      </w:r>
      <w:r>
        <w:br/>
      </w:r>
      <w:r>
        <w:rPr>
          <w:rFonts w:eastAsia="Georgia" w:hAnsi="Georgia" w:cs="Georgia"/>
        </w:rPr>
        <w:t>mz3166@</w:t>
      </w:r>
      <w:r>
        <w:br/>
        <w:t>Co-Chair</w:t>
      </w:r>
    </w:p>
    <w:p w14:paraId="1CC924A0" w14:textId="77777777" w:rsidR="005D65C3" w:rsidRDefault="00000000">
      <w:pPr>
        <w:spacing w:after="210"/>
      </w:pPr>
      <w:r>
        <w:rPr>
          <w:b/>
        </w:rPr>
        <w:t>Aidan Cook</w:t>
      </w:r>
      <w:r>
        <w:br/>
        <w:t>GS'28 FinEcon</w:t>
      </w:r>
      <w:r>
        <w:br/>
        <w:t>ac5783</w:t>
      </w:r>
      <w:r>
        <w:br/>
        <w:t>Co-Chair</w:t>
      </w:r>
    </w:p>
    <w:p w14:paraId="6B8EC74B" w14:textId="77777777" w:rsidR="005D65C3" w:rsidRDefault="00000000">
      <w:pPr>
        <w:spacing w:after="210"/>
      </w:pPr>
      <w:r>
        <w:rPr>
          <w:b/>
        </w:rPr>
        <w:t>Kimberly Wing</w:t>
      </w:r>
      <w:r>
        <w:br/>
        <w:t>BC'27 Econ</w:t>
      </w:r>
      <w:r>
        <w:br/>
        <w:t>knw2140</w:t>
      </w:r>
      <w:r>
        <w:br/>
        <w:t>Equities</w:t>
      </w:r>
    </w:p>
    <w:p w14:paraId="5F8078C9" w14:textId="77777777" w:rsidR="005D65C3" w:rsidRDefault="00000000">
      <w:pPr>
        <w:spacing w:after="210"/>
      </w:pPr>
      <w:r>
        <w:t>Email us to get in touch! All majors, years, and backgrounds welcome.</w:t>
      </w:r>
    </w:p>
    <w:p w14:paraId="5EA6B07A" w14:textId="77777777" w:rsidR="005D65C3" w:rsidRDefault="00000000">
      <w:pPr>
        <w:spacing w:after="210"/>
      </w:pPr>
      <w:r>
        <w:t>Submit your answer here, fastest right answer gets $5</w:t>
      </w:r>
    </w:p>
    <w:sectPr w:rsidR="005D65C3">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5C3"/>
    <w:rsid w:val="00514E1D"/>
    <w:rsid w:val="005D65C3"/>
    <w:rsid w:val="00C97F7D"/>
    <w:rsid w:val="00FB77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4EAF9"/>
  <w15:docId w15:val="{361D5CE4-1BA6-3349-983A-831713C2F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SimSun"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2045</Words>
  <Characters>11663</Characters>
  <Application>Microsoft Office Word</Application>
  <DocSecurity>0</DocSecurity>
  <Lines>97</Lines>
  <Paragraphs>27</Paragraphs>
  <ScaleCrop>false</ScaleCrop>
  <Company/>
  <LinksUpToDate>false</LinksUpToDate>
  <CharactersWithSpaces>13681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Mingxuan Zhang</cp:lastModifiedBy>
  <cp:revision>2</cp:revision>
  <dcterms:created xsi:type="dcterms:W3CDTF">2026-03-24T21:14:00Z</dcterms:created>
  <dcterms:modified xsi:type="dcterms:W3CDTF">2026-03-24T21:14:00Z</dcterms:modified>
</cp:coreProperties>
</file>