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F990E" w14:textId="141D8AD5" w:rsidR="000F2565" w:rsidRPr="00D81C19" w:rsidRDefault="00FC1EA0">
      <w:pPr>
        <w:rPr>
          <w:rFonts w:ascii="Times New Roman" w:hAnsi="Times New Roman" w:cs="Times New Roman"/>
          <w:b/>
          <w:bCs/>
        </w:rPr>
      </w:pPr>
      <w:r w:rsidRPr="00D81C19">
        <w:rPr>
          <w:rFonts w:ascii="Times New Roman" w:hAnsi="Times New Roman" w:cs="Times New Roman"/>
          <w:b/>
          <w:bCs/>
        </w:rPr>
        <w:t>Agenda items</w:t>
      </w:r>
      <w:r w:rsidR="000E7082" w:rsidRPr="00D81C19">
        <w:rPr>
          <w:rFonts w:ascii="Times New Roman" w:hAnsi="Times New Roman" w:cs="Times New Roman"/>
          <w:b/>
          <w:bCs/>
        </w:rPr>
        <w:t xml:space="preserve"> for 10/25/</w:t>
      </w:r>
      <w:proofErr w:type="gramStart"/>
      <w:r w:rsidR="000E7082" w:rsidRPr="00D81C19">
        <w:rPr>
          <w:rFonts w:ascii="Times New Roman" w:hAnsi="Times New Roman" w:cs="Times New Roman"/>
          <w:b/>
          <w:bCs/>
        </w:rPr>
        <w:t xml:space="preserve">19 </w:t>
      </w:r>
      <w:r w:rsidRPr="00D81C19">
        <w:rPr>
          <w:rFonts w:ascii="Times New Roman" w:hAnsi="Times New Roman" w:cs="Times New Roman"/>
          <w:b/>
          <w:bCs/>
        </w:rPr>
        <w:t>:</w:t>
      </w:r>
      <w:proofErr w:type="gramEnd"/>
    </w:p>
    <w:p w14:paraId="25CF010B" w14:textId="77777777" w:rsidR="00F03239" w:rsidRDefault="00F03239" w:rsidP="00F03239">
      <w:pPr>
        <w:rPr>
          <w:rFonts w:ascii="Times New Roman" w:hAnsi="Times New Roman" w:cs="Times New Roman"/>
        </w:rPr>
      </w:pPr>
      <w:r>
        <w:rPr>
          <w:rFonts w:ascii="Times New Roman" w:hAnsi="Times New Roman" w:cs="Times New Roman"/>
          <w:highlight w:val="yellow"/>
        </w:rPr>
        <w:t>Intervention into the literature</w:t>
      </w:r>
    </w:p>
    <w:p w14:paraId="1167D68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Patterns in nutritional shortfalls; compare to existing work</w:t>
      </w:r>
    </w:p>
    <w:p w14:paraId="579CD639" w14:textId="77777777" w:rsidR="00F03239" w:rsidRDefault="00F03239" w:rsidP="00F03239">
      <w:pPr>
        <w:pStyle w:val="ListParagraph"/>
        <w:rPr>
          <w:rFonts w:ascii="Times New Roman" w:hAnsi="Times New Roman" w:cs="Times New Roman"/>
        </w:rPr>
      </w:pPr>
      <w:r>
        <w:rPr>
          <w:rFonts w:ascii="Times New Roman" w:hAnsi="Times New Roman" w:cs="Times New Roman"/>
        </w:rPr>
        <w:t>(1a) Calculating other commonly used metrics:</w:t>
      </w:r>
    </w:p>
    <w:p w14:paraId="36D32DDC"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BMI</w:t>
      </w:r>
    </w:p>
    <w:p w14:paraId="5E933300"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HDDS</w:t>
      </w:r>
    </w:p>
    <w:p w14:paraId="50187E49"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activity level (sedentary, moderate, active)</w:t>
      </w:r>
    </w:p>
    <w:p w14:paraId="56B196F4" w14:textId="77777777" w:rsidR="00F03239" w:rsidRDefault="00F03239" w:rsidP="00F03239">
      <w:pPr>
        <w:pStyle w:val="ListParagraph"/>
        <w:ind w:left="1440"/>
        <w:rPr>
          <w:rFonts w:ascii="Times New Roman" w:hAnsi="Times New Roman" w:cs="Times New Roman"/>
        </w:rPr>
      </w:pPr>
      <w:r>
        <w:rPr>
          <w:rFonts w:ascii="Times New Roman" w:hAnsi="Times New Roman" w:cs="Times New Roman"/>
        </w:rPr>
        <w:t>Intake + energy expenditure (fancy equations?)</w:t>
      </w:r>
    </w:p>
    <w:p w14:paraId="75F8DFB6"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Demonstrate correlations across measures. </w:t>
      </w:r>
    </w:p>
    <w:p w14:paraId="67AB377C"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These are different outcome measures </w:t>
      </w:r>
      <w:proofErr w:type="gramStart"/>
      <w:r>
        <w:rPr>
          <w:rFonts w:ascii="Times New Roman" w:eastAsia="Times New Roman" w:hAnsi="Times New Roman" w:cs="Times New Roman"/>
        </w:rPr>
        <w:t>related?</w:t>
      </w:r>
      <w:proofErr w:type="gramEnd"/>
      <w:r>
        <w:rPr>
          <w:rFonts w:ascii="Times New Roman" w:eastAsia="Times New Roman" w:hAnsi="Times New Roman" w:cs="Times New Roman"/>
        </w:rPr>
        <w:t xml:space="preserve"> What one should we use when?</w:t>
      </w:r>
    </w:p>
    <w:p w14:paraId="2E7C7F51"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How to capture the shortfall for women / kids?</w:t>
      </w:r>
    </w:p>
    <w:p w14:paraId="792D162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Raw percentage from benchmark? Difference in percentages from benchmark for different household members? Weighting by severity?</w:t>
      </w:r>
    </w:p>
    <w:p w14:paraId="51B793D5" w14:textId="77777777" w:rsidR="00F03239" w:rsidRDefault="00F03239" w:rsidP="00F03239">
      <w:pPr>
        <w:pStyle w:val="ListParagraph"/>
        <w:numPr>
          <w:ilvl w:val="1"/>
          <w:numId w:val="1"/>
        </w:numPr>
        <w:spacing w:line="252" w:lineRule="auto"/>
        <w:rPr>
          <w:rFonts w:ascii="Times New Roman" w:eastAsia="Times New Roman" w:hAnsi="Times New Roman" w:cs="Times New Roman"/>
        </w:rPr>
      </w:pPr>
      <w:r>
        <w:rPr>
          <w:rFonts w:ascii="Times New Roman" w:eastAsia="Times New Roman" w:hAnsi="Times New Roman" w:cs="Times New Roman"/>
        </w:rPr>
        <w:t>Empowerment matter?</w:t>
      </w:r>
    </w:p>
    <w:p w14:paraId="0AAF3F1A" w14:textId="77777777" w:rsidR="00F03239" w:rsidRDefault="00F03239" w:rsidP="00F03239">
      <w:pPr>
        <w:pStyle w:val="ListParagraph"/>
        <w:ind w:left="1800"/>
        <w:rPr>
          <w:rFonts w:ascii="Times New Roman" w:hAnsi="Times New Roman" w:cs="Times New Roman"/>
        </w:rPr>
      </w:pPr>
    </w:p>
    <w:p w14:paraId="0014916E"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 xml:space="preserve">We also care about the tails – </w:t>
      </w:r>
    </w:p>
    <w:p w14:paraId="301BD94A" w14:textId="77777777" w:rsidR="00F03239" w:rsidRDefault="00F03239" w:rsidP="00F03239">
      <w:pPr>
        <w:pStyle w:val="ListParagraph"/>
        <w:numPr>
          <w:ilvl w:val="0"/>
          <w:numId w:val="1"/>
        </w:numPr>
        <w:spacing w:line="252" w:lineRule="auto"/>
        <w:rPr>
          <w:rFonts w:ascii="Times New Roman" w:eastAsia="Times New Roman" w:hAnsi="Times New Roman" w:cs="Times New Roman"/>
        </w:rPr>
      </w:pPr>
      <w:r>
        <w:rPr>
          <w:rFonts w:ascii="Times New Roman" w:eastAsia="Times New Roman" w:hAnsi="Times New Roman" w:cs="Times New Roman"/>
        </w:rPr>
        <w:t>Machine Learning around certain outcomes?</w:t>
      </w:r>
    </w:p>
    <w:p w14:paraId="5B8FF321" w14:textId="77777777" w:rsidR="00F03239" w:rsidRPr="00D81C19" w:rsidRDefault="00F03239" w:rsidP="00F03239">
      <w:pPr>
        <w:pStyle w:val="ListParagraph"/>
        <w:ind w:left="360"/>
        <w:rPr>
          <w:rFonts w:ascii="Times New Roman" w:hAnsi="Times New Roman" w:cs="Times New Roman"/>
        </w:rPr>
      </w:pPr>
    </w:p>
    <w:p w14:paraId="43F92F41" w14:textId="77777777" w:rsidR="00325A94" w:rsidRPr="00D81C19" w:rsidRDefault="00FC1EA0" w:rsidP="00325A94">
      <w:pPr>
        <w:pStyle w:val="ListParagraph"/>
        <w:numPr>
          <w:ilvl w:val="0"/>
          <w:numId w:val="1"/>
        </w:numPr>
        <w:rPr>
          <w:rFonts w:ascii="Times New Roman" w:hAnsi="Times New Roman" w:cs="Times New Roman"/>
        </w:rPr>
      </w:pPr>
      <w:r w:rsidRPr="00D81C19">
        <w:rPr>
          <w:rFonts w:ascii="Times New Roman" w:hAnsi="Times New Roman" w:cs="Times New Roman"/>
        </w:rPr>
        <w:t>Weighting</w:t>
      </w:r>
    </w:p>
    <w:p w14:paraId="160DC9FC" w14:textId="77777777" w:rsidR="00325A94" w:rsidRPr="00D81C19" w:rsidRDefault="00325A94" w:rsidP="00325A94">
      <w:pPr>
        <w:pStyle w:val="ListParagraph"/>
        <w:numPr>
          <w:ilvl w:val="1"/>
          <w:numId w:val="1"/>
        </w:numPr>
        <w:rPr>
          <w:rFonts w:ascii="Times New Roman" w:hAnsi="Times New Roman" w:cs="Times New Roman"/>
        </w:rPr>
      </w:pPr>
      <w:r w:rsidRPr="00D81C19">
        <w:rPr>
          <w:rFonts w:ascii="Times New Roman" w:eastAsia="Times New Roman" w:hAnsi="Times New Roman" w:cs="Times New Roman"/>
          <w:b/>
          <w:bCs/>
        </w:rPr>
        <w:t>Erin:</w:t>
      </w:r>
      <w:r w:rsidRPr="00D81C19">
        <w:rPr>
          <w:rFonts w:ascii="Times New Roman" w:eastAsia="Times New Roman" w:hAnsi="Times New Roman" w:cs="Times New Roman"/>
        </w:rPr>
        <w:t xml:space="preserve"> Here is a smattering of language that seems clear and then confusing: The BIHS sample is statistically representative at the following levels: (1) nationally representative of rural Bangladesh; (2) representative of rural areas of each of the seven administrative divisions of the country: Barisal, Chittagong, Dhaka, Khulna, </w:t>
      </w:r>
      <w:proofErr w:type="spellStart"/>
      <w:r w:rsidRPr="00D81C19">
        <w:rPr>
          <w:rFonts w:ascii="Times New Roman" w:eastAsia="Times New Roman" w:hAnsi="Times New Roman" w:cs="Times New Roman"/>
        </w:rPr>
        <w:t>Rajshahi</w:t>
      </w:r>
      <w:proofErr w:type="spellEnd"/>
      <w:r w:rsidRPr="00D81C19">
        <w:rPr>
          <w:rFonts w:ascii="Times New Roman" w:eastAsia="Times New Roman" w:hAnsi="Times New Roman" w:cs="Times New Roman"/>
        </w:rPr>
        <w:t xml:space="preserve">, Rangpur, and Sylhet; and, (3) representative of the FTF zone of influence. The U.S. Agency for International Development (USAID) provided the International Food Policy Research Institute (IFPRI) the list of FTF locations (districts and </w:t>
      </w:r>
      <w:proofErr w:type="spellStart"/>
      <w:r w:rsidRPr="00D81C19">
        <w:rPr>
          <w:rFonts w:ascii="Times New Roman" w:eastAsia="Times New Roman" w:hAnsi="Times New Roman" w:cs="Times New Roman"/>
        </w:rPr>
        <w:t>upazilas</w:t>
      </w:r>
      <w:proofErr w:type="spellEnd"/>
      <w:r w:rsidRPr="00D81C19">
        <w:rPr>
          <w:rFonts w:ascii="Times New Roman" w:eastAsia="Times New Roman" w:hAnsi="Times New Roman" w:cs="Times New Roman"/>
        </w:rPr>
        <w:t xml:space="preserve"> [i.e., subdistricts]). Using this list, a consultant statistician sampled the FTF zone separately for its statistical representativeness.</w:t>
      </w:r>
      <w:r w:rsidRPr="00D81C19">
        <w:rPr>
          <w:rFonts w:ascii="Times New Roman" w:eastAsia="Times New Roman" w:hAnsi="Times New Roman" w:cs="Times New Roman"/>
          <w:position w:val="12"/>
        </w:rPr>
        <w:t xml:space="preserve">  …. </w:t>
      </w:r>
      <w:r w:rsidRPr="00D81C19">
        <w:rPr>
          <w:rFonts w:ascii="Times New Roman" w:eastAsia="Times New Roman" w:hAnsi="Times New Roman" w:cs="Times New Roman"/>
        </w:rPr>
        <w:t xml:space="preserve">Later, sampling weights were adjusted </w:t>
      </w:r>
      <w:proofErr w:type="gramStart"/>
      <w:r w:rsidRPr="00D81C19">
        <w:rPr>
          <w:rFonts w:ascii="Times New Roman" w:eastAsia="Times New Roman" w:hAnsi="Times New Roman" w:cs="Times New Roman"/>
        </w:rPr>
        <w:t>on the basis of</w:t>
      </w:r>
      <w:proofErr w:type="gramEnd"/>
      <w:r w:rsidRPr="00D81C19">
        <w:rPr>
          <w:rFonts w:ascii="Times New Roman" w:eastAsia="Times New Roman" w:hAnsi="Times New Roman" w:cs="Times New Roman"/>
        </w:rPr>
        <w:t xml:space="preserve"> the latest population census of 2011.  … Since the sampling frame of the BIHS has the FTF stratum and the seven strata representing the seven divisions, the use of the additional BIHS sample from the three divisional strata required estimation of appropriate sampling weights to obtain results that are statistically representative of the FTF zone of influence. The consultant statistician calculated the sampling weights and trained IFPRI- PRSSP research analysts on the use of the weights in analyzing the expanded sample of the FTF data set. The final sample frame of the FTF zone includes 2,040 households (1,000 households in the original FTF sample and 1,040 additional sample households) in 102 PSUs belonging to 73 </w:t>
      </w:r>
      <w:proofErr w:type="spellStart"/>
      <w:r w:rsidRPr="00D81C19">
        <w:rPr>
          <w:rFonts w:ascii="Times New Roman" w:eastAsia="Times New Roman" w:hAnsi="Times New Roman" w:cs="Times New Roman"/>
        </w:rPr>
        <w:t>upazilas</w:t>
      </w:r>
      <w:proofErr w:type="spellEnd"/>
      <w:r w:rsidRPr="00D81C19">
        <w:rPr>
          <w:rFonts w:ascii="Times New Roman" w:eastAsia="Times New Roman" w:hAnsi="Times New Roman" w:cs="Times New Roman"/>
        </w:rPr>
        <w:t>.</w:t>
      </w:r>
    </w:p>
    <w:p w14:paraId="1F561A94" w14:textId="6558C466" w:rsidR="00325A94" w:rsidRPr="00D81C19" w:rsidRDefault="00325A94" w:rsidP="00325A94">
      <w:pPr>
        <w:pStyle w:val="ListParagraph"/>
        <w:numPr>
          <w:ilvl w:val="1"/>
          <w:numId w:val="1"/>
        </w:numPr>
        <w:rPr>
          <w:rFonts w:ascii="Times New Roman" w:hAnsi="Times New Roman" w:cs="Times New Roman"/>
        </w:rPr>
      </w:pPr>
      <w:r w:rsidRPr="00D81C19">
        <w:rPr>
          <w:rFonts w:ascii="Times New Roman" w:hAnsi="Times New Roman" w:cs="Times New Roman"/>
          <w:b/>
          <w:bCs/>
        </w:rPr>
        <w:t>Lila:</w:t>
      </w:r>
      <w:r w:rsidRPr="00D81C19">
        <w:rPr>
          <w:rFonts w:ascii="Times New Roman" w:hAnsi="Times New Roman" w:cs="Times New Roman"/>
        </w:rPr>
        <w:t xml:space="preserve"> After restricting the sample to non-polygamous households with male married heads with present spouses and no pregnant or lactating women in the household, and then excluding individuals with missing consumption data,  the sample yields: Feed the Future Original (634), FTF additional (610), and National Representative (2449). According to Table 1 of D’Souza and Tandon, their sample size is 3060, which is almost equal to National Representative + FTF additional = </w:t>
      </w:r>
      <w:proofErr w:type="gramStart"/>
      <w:r w:rsidRPr="00D81C19">
        <w:rPr>
          <w:rFonts w:ascii="Times New Roman" w:hAnsi="Times New Roman" w:cs="Times New Roman"/>
        </w:rPr>
        <w:t>3059 .</w:t>
      </w:r>
      <w:proofErr w:type="gramEnd"/>
      <w:r w:rsidRPr="00D81C19">
        <w:rPr>
          <w:rFonts w:ascii="Times New Roman" w:hAnsi="Times New Roman" w:cs="Times New Roman"/>
        </w:rPr>
        <w:t xml:space="preserve"> Does it make sense that they selected those two groups? Also, in note 9 on page 631, it reads “The data are representative with the use of sample weights; weights were adjusted using the 2011 population census sampling frame.” Do you think they reweighted to the 2011 census after restricting the sample?</w:t>
      </w:r>
    </w:p>
    <w:p w14:paraId="77EDB960" w14:textId="77777777" w:rsidR="00325A94" w:rsidRPr="00D81C19" w:rsidRDefault="00325A94" w:rsidP="00325A94">
      <w:pPr>
        <w:pStyle w:val="ListParagraph"/>
        <w:ind w:left="1440"/>
        <w:rPr>
          <w:rFonts w:ascii="Times New Roman" w:hAnsi="Times New Roman" w:cs="Times New Roman"/>
        </w:rPr>
      </w:pPr>
    </w:p>
    <w:p w14:paraId="2EB10065" w14:textId="77777777" w:rsidR="00ED7F86" w:rsidRPr="00D81C19" w:rsidRDefault="00ED7F86" w:rsidP="00777EA5">
      <w:pPr>
        <w:pStyle w:val="ListParagraph"/>
        <w:rPr>
          <w:rFonts w:ascii="Times New Roman" w:hAnsi="Times New Roman" w:cs="Times New Roman"/>
        </w:rPr>
      </w:pPr>
    </w:p>
    <w:p w14:paraId="726D5669" w14:textId="1DAA9F20" w:rsidR="00ED7F86" w:rsidRDefault="00ED7F86" w:rsidP="00FC1EA0">
      <w:pPr>
        <w:pStyle w:val="ListParagraph"/>
        <w:numPr>
          <w:ilvl w:val="0"/>
          <w:numId w:val="1"/>
        </w:numPr>
        <w:rPr>
          <w:rFonts w:ascii="Times New Roman" w:hAnsi="Times New Roman" w:cs="Times New Roman"/>
        </w:rPr>
      </w:pPr>
      <w:r>
        <w:rPr>
          <w:rFonts w:ascii="Times New Roman" w:hAnsi="Times New Roman" w:cs="Times New Roman"/>
        </w:rPr>
        <w:t>Data Sources</w:t>
      </w:r>
    </w:p>
    <w:p w14:paraId="719567D7" w14:textId="047047E9" w:rsidR="00ED7F86" w:rsidRDefault="00ED7F86" w:rsidP="00ED7F86">
      <w:pPr>
        <w:pStyle w:val="ListParagraph"/>
        <w:numPr>
          <w:ilvl w:val="1"/>
          <w:numId w:val="1"/>
        </w:numPr>
        <w:rPr>
          <w:rFonts w:ascii="Times New Roman" w:hAnsi="Times New Roman" w:cs="Times New Roman"/>
        </w:rPr>
      </w:pPr>
      <w:r>
        <w:rPr>
          <w:rFonts w:ascii="Times New Roman" w:hAnsi="Times New Roman" w:cs="Times New Roman"/>
        </w:rPr>
        <w:t xml:space="preserve">Household consumption and expenditure surveys (HES) </w:t>
      </w:r>
    </w:p>
    <w:p w14:paraId="62836CB8" w14:textId="73A27AB8" w:rsidR="00ED7F86" w:rsidRDefault="00ED7F86" w:rsidP="00ED7F86">
      <w:pPr>
        <w:pStyle w:val="ListParagraph"/>
        <w:numPr>
          <w:ilvl w:val="2"/>
          <w:numId w:val="1"/>
        </w:numPr>
        <w:rPr>
          <w:rFonts w:ascii="Times New Roman" w:hAnsi="Times New Roman" w:cs="Times New Roman"/>
        </w:rPr>
      </w:pPr>
      <w:r>
        <w:rPr>
          <w:rFonts w:ascii="Times New Roman" w:hAnsi="Times New Roman" w:cs="Times New Roman"/>
        </w:rPr>
        <w:t>Often food consumption and/or acquisition over 7-14 days</w:t>
      </w:r>
    </w:p>
    <w:p w14:paraId="3B4AE38C" w14:textId="19C07FEE" w:rsidR="00ED7F86" w:rsidRDefault="00ED7F86" w:rsidP="00ED7F86">
      <w:pPr>
        <w:pStyle w:val="ListParagraph"/>
        <w:numPr>
          <w:ilvl w:val="1"/>
          <w:numId w:val="1"/>
        </w:numPr>
        <w:rPr>
          <w:rFonts w:ascii="Times New Roman" w:hAnsi="Times New Roman" w:cs="Times New Roman"/>
        </w:rPr>
      </w:pPr>
      <w:proofErr w:type="gramStart"/>
      <w:r>
        <w:rPr>
          <w:rFonts w:ascii="Times New Roman" w:hAnsi="Times New Roman" w:cs="Times New Roman"/>
        </w:rPr>
        <w:t>24 hour</w:t>
      </w:r>
      <w:proofErr w:type="gramEnd"/>
      <w:r>
        <w:rPr>
          <w:rFonts w:ascii="Times New Roman" w:hAnsi="Times New Roman" w:cs="Times New Roman"/>
        </w:rPr>
        <w:t xml:space="preserve"> recall surveys</w:t>
      </w:r>
    </w:p>
    <w:p w14:paraId="187374FD" w14:textId="6798F254" w:rsidR="00777EA5" w:rsidRPr="00D81C19" w:rsidRDefault="00777EA5" w:rsidP="00FC1EA0">
      <w:pPr>
        <w:pStyle w:val="ListParagraph"/>
        <w:numPr>
          <w:ilvl w:val="0"/>
          <w:numId w:val="1"/>
        </w:numPr>
        <w:rPr>
          <w:rFonts w:ascii="Times New Roman" w:hAnsi="Times New Roman" w:cs="Times New Roman"/>
        </w:rPr>
      </w:pPr>
      <w:r w:rsidRPr="00D81C19">
        <w:rPr>
          <w:rFonts w:ascii="Times New Roman" w:hAnsi="Times New Roman" w:cs="Times New Roman"/>
        </w:rPr>
        <w:t xml:space="preserve">Adult equivalents </w:t>
      </w:r>
    </w:p>
    <w:p w14:paraId="512A0597" w14:textId="77777777" w:rsidR="000E7082" w:rsidRPr="00D81C19" w:rsidRDefault="000E7082" w:rsidP="000E7082">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05"/>
        <w:gridCol w:w="1279"/>
        <w:gridCol w:w="1411"/>
      </w:tblGrid>
      <w:tr w:rsidR="000E7082" w:rsidRPr="00D81C19" w14:paraId="36AF57C9" w14:textId="77777777" w:rsidTr="003B7434">
        <w:tc>
          <w:tcPr>
            <w:tcW w:w="1705" w:type="dxa"/>
          </w:tcPr>
          <w:p w14:paraId="77C82C3E" w14:textId="77777777" w:rsidR="000E7082" w:rsidRPr="00D81C19" w:rsidRDefault="000E7082" w:rsidP="000E7082">
            <w:pPr>
              <w:pStyle w:val="ListParagraph"/>
              <w:ind w:left="0"/>
              <w:rPr>
                <w:rFonts w:ascii="Times New Roman" w:hAnsi="Times New Roman" w:cs="Times New Roman"/>
              </w:rPr>
            </w:pPr>
          </w:p>
        </w:tc>
        <w:tc>
          <w:tcPr>
            <w:tcW w:w="1279" w:type="dxa"/>
          </w:tcPr>
          <w:p w14:paraId="55564EE4" w14:textId="384F4DD8" w:rsidR="000E7082" w:rsidRPr="00D81C19" w:rsidRDefault="000E7082" w:rsidP="000E7082">
            <w:pPr>
              <w:pStyle w:val="ListParagraph"/>
              <w:ind w:left="0"/>
              <w:rPr>
                <w:rFonts w:ascii="Times New Roman" w:hAnsi="Times New Roman" w:cs="Times New Roman"/>
              </w:rPr>
            </w:pPr>
            <w:r w:rsidRPr="00D81C19">
              <w:rPr>
                <w:rFonts w:ascii="Times New Roman" w:hAnsi="Times New Roman" w:cs="Times New Roman"/>
              </w:rPr>
              <w:t>Calculation</w:t>
            </w:r>
          </w:p>
        </w:tc>
        <w:tc>
          <w:tcPr>
            <w:tcW w:w="1411" w:type="dxa"/>
          </w:tcPr>
          <w:p w14:paraId="6B1D7125" w14:textId="0B28CA7F" w:rsidR="000E7082" w:rsidRPr="00D81C19" w:rsidRDefault="000E7082" w:rsidP="000E7082">
            <w:pPr>
              <w:pStyle w:val="ListParagraph"/>
              <w:ind w:left="0"/>
              <w:rPr>
                <w:rFonts w:ascii="Times New Roman" w:hAnsi="Times New Roman" w:cs="Times New Roman"/>
              </w:rPr>
            </w:pPr>
            <w:r w:rsidRPr="00D81C19">
              <w:rPr>
                <w:rFonts w:ascii="Times New Roman" w:hAnsi="Times New Roman" w:cs="Times New Roman"/>
              </w:rPr>
              <w:t>Comments</w:t>
            </w:r>
          </w:p>
        </w:tc>
      </w:tr>
      <w:tr w:rsidR="000E7082" w:rsidRPr="00D81C19" w14:paraId="1621935B" w14:textId="77777777" w:rsidTr="003B7434">
        <w:tc>
          <w:tcPr>
            <w:tcW w:w="1705" w:type="dxa"/>
          </w:tcPr>
          <w:p w14:paraId="7FC781B9" w14:textId="53C20076" w:rsidR="000E7082" w:rsidRPr="00D81C19" w:rsidRDefault="000E7082" w:rsidP="000E7082">
            <w:pPr>
              <w:pStyle w:val="ListParagraph"/>
              <w:ind w:left="0"/>
              <w:rPr>
                <w:rFonts w:ascii="Times New Roman" w:hAnsi="Times New Roman" w:cs="Times New Roman"/>
              </w:rPr>
            </w:pPr>
            <w:r w:rsidRPr="00D81C19">
              <w:rPr>
                <w:rFonts w:ascii="Times New Roman" w:hAnsi="Times New Roman" w:cs="Times New Roman"/>
              </w:rPr>
              <w:t>OECD</w:t>
            </w:r>
          </w:p>
        </w:tc>
        <w:tc>
          <w:tcPr>
            <w:tcW w:w="1279" w:type="dxa"/>
          </w:tcPr>
          <w:p w14:paraId="23C88FE5" w14:textId="77777777" w:rsidR="000E7082" w:rsidRPr="00D81C19" w:rsidRDefault="000E7082" w:rsidP="000E7082">
            <w:pPr>
              <w:pStyle w:val="ListParagraph"/>
              <w:ind w:left="0"/>
              <w:rPr>
                <w:rFonts w:ascii="Times New Roman" w:hAnsi="Times New Roman" w:cs="Times New Roman"/>
              </w:rPr>
            </w:pPr>
          </w:p>
        </w:tc>
        <w:tc>
          <w:tcPr>
            <w:tcW w:w="1411" w:type="dxa"/>
          </w:tcPr>
          <w:p w14:paraId="6044F711" w14:textId="77777777" w:rsidR="000E7082" w:rsidRPr="00D81C19" w:rsidRDefault="000E7082" w:rsidP="000E7082">
            <w:pPr>
              <w:pStyle w:val="ListParagraph"/>
              <w:ind w:left="0"/>
              <w:rPr>
                <w:rFonts w:ascii="Times New Roman" w:hAnsi="Times New Roman" w:cs="Times New Roman"/>
              </w:rPr>
            </w:pPr>
          </w:p>
        </w:tc>
      </w:tr>
      <w:tr w:rsidR="000E7082" w:rsidRPr="00D81C19" w14:paraId="2853159B" w14:textId="77777777" w:rsidTr="003B7434">
        <w:tc>
          <w:tcPr>
            <w:tcW w:w="1705" w:type="dxa"/>
          </w:tcPr>
          <w:p w14:paraId="211EBB10" w14:textId="6A8ACE83" w:rsidR="000E7082" w:rsidRPr="00D81C19" w:rsidRDefault="000E7082" w:rsidP="000E7082">
            <w:pPr>
              <w:pStyle w:val="ListParagraph"/>
              <w:ind w:left="0"/>
              <w:rPr>
                <w:rFonts w:ascii="Times New Roman" w:hAnsi="Times New Roman" w:cs="Times New Roman"/>
              </w:rPr>
            </w:pPr>
            <w:r w:rsidRPr="00D81C19">
              <w:rPr>
                <w:rFonts w:ascii="Times New Roman" w:hAnsi="Times New Roman" w:cs="Times New Roman"/>
              </w:rPr>
              <w:t>D&amp;T</w:t>
            </w:r>
          </w:p>
        </w:tc>
        <w:tc>
          <w:tcPr>
            <w:tcW w:w="1279" w:type="dxa"/>
          </w:tcPr>
          <w:p w14:paraId="32FB26B6" w14:textId="77777777" w:rsidR="000E7082" w:rsidRPr="00D81C19" w:rsidRDefault="000E7082" w:rsidP="000E7082">
            <w:pPr>
              <w:pStyle w:val="ListParagraph"/>
              <w:ind w:left="0"/>
              <w:rPr>
                <w:rFonts w:ascii="Times New Roman" w:hAnsi="Times New Roman" w:cs="Times New Roman"/>
              </w:rPr>
            </w:pPr>
          </w:p>
        </w:tc>
        <w:tc>
          <w:tcPr>
            <w:tcW w:w="1411" w:type="dxa"/>
          </w:tcPr>
          <w:p w14:paraId="6808DC0C" w14:textId="77777777" w:rsidR="000E7082" w:rsidRPr="00D81C19" w:rsidRDefault="000E7082" w:rsidP="000E7082">
            <w:pPr>
              <w:pStyle w:val="ListParagraph"/>
              <w:ind w:left="0"/>
              <w:rPr>
                <w:rFonts w:ascii="Times New Roman" w:hAnsi="Times New Roman" w:cs="Times New Roman"/>
              </w:rPr>
            </w:pPr>
          </w:p>
        </w:tc>
      </w:tr>
      <w:tr w:rsidR="000E7082" w:rsidRPr="00D81C19" w14:paraId="54B6B943" w14:textId="77777777" w:rsidTr="003B7434">
        <w:tc>
          <w:tcPr>
            <w:tcW w:w="1705" w:type="dxa"/>
          </w:tcPr>
          <w:p w14:paraId="1670960E" w14:textId="7A767005" w:rsidR="000E7082" w:rsidRPr="00D81C19" w:rsidRDefault="001C0119" w:rsidP="000E7082">
            <w:pPr>
              <w:pStyle w:val="ListParagraph"/>
              <w:ind w:left="0"/>
              <w:rPr>
                <w:rFonts w:ascii="Times New Roman" w:hAnsi="Times New Roman" w:cs="Times New Roman"/>
              </w:rPr>
            </w:pPr>
            <w:r w:rsidRPr="00D81C19">
              <w:rPr>
                <w:rFonts w:ascii="Times New Roman" w:hAnsi="Times New Roman" w:cs="Times New Roman"/>
              </w:rPr>
              <w:t>Per capita</w:t>
            </w:r>
          </w:p>
        </w:tc>
        <w:tc>
          <w:tcPr>
            <w:tcW w:w="1279" w:type="dxa"/>
          </w:tcPr>
          <w:p w14:paraId="78395A25" w14:textId="77777777" w:rsidR="000E7082" w:rsidRPr="00D81C19" w:rsidRDefault="000E7082" w:rsidP="000E7082">
            <w:pPr>
              <w:pStyle w:val="ListParagraph"/>
              <w:ind w:left="0"/>
              <w:rPr>
                <w:rFonts w:ascii="Times New Roman" w:hAnsi="Times New Roman" w:cs="Times New Roman"/>
              </w:rPr>
            </w:pPr>
          </w:p>
        </w:tc>
        <w:tc>
          <w:tcPr>
            <w:tcW w:w="1411" w:type="dxa"/>
          </w:tcPr>
          <w:p w14:paraId="4B442D16" w14:textId="77777777" w:rsidR="000E7082" w:rsidRPr="00D81C19" w:rsidRDefault="000E7082" w:rsidP="000E7082">
            <w:pPr>
              <w:pStyle w:val="ListParagraph"/>
              <w:ind w:left="0"/>
              <w:rPr>
                <w:rFonts w:ascii="Times New Roman" w:hAnsi="Times New Roman" w:cs="Times New Roman"/>
              </w:rPr>
            </w:pPr>
          </w:p>
        </w:tc>
      </w:tr>
      <w:tr w:rsidR="000E7082" w:rsidRPr="00D81C19" w14:paraId="5472A8C3" w14:textId="77777777" w:rsidTr="003B7434">
        <w:tc>
          <w:tcPr>
            <w:tcW w:w="1705" w:type="dxa"/>
          </w:tcPr>
          <w:p w14:paraId="0782E120" w14:textId="717385B7" w:rsidR="000E7082" w:rsidRPr="00D81C19" w:rsidRDefault="003B7434" w:rsidP="000E7082">
            <w:pPr>
              <w:pStyle w:val="ListParagraph"/>
              <w:ind w:left="0"/>
              <w:rPr>
                <w:rFonts w:ascii="Times New Roman" w:hAnsi="Times New Roman" w:cs="Times New Roman"/>
              </w:rPr>
            </w:pPr>
            <w:r>
              <w:rPr>
                <w:rFonts w:ascii="Times New Roman" w:hAnsi="Times New Roman" w:cs="Times New Roman"/>
              </w:rPr>
              <w:t>Adult Male Equivalent (AME)</w:t>
            </w:r>
          </w:p>
        </w:tc>
        <w:tc>
          <w:tcPr>
            <w:tcW w:w="1279" w:type="dxa"/>
          </w:tcPr>
          <w:p w14:paraId="43033056" w14:textId="77777777" w:rsidR="000E7082" w:rsidRPr="00D81C19" w:rsidRDefault="000E7082" w:rsidP="000E7082">
            <w:pPr>
              <w:pStyle w:val="ListParagraph"/>
              <w:ind w:left="0"/>
              <w:rPr>
                <w:rFonts w:ascii="Times New Roman" w:hAnsi="Times New Roman" w:cs="Times New Roman"/>
              </w:rPr>
            </w:pPr>
          </w:p>
        </w:tc>
        <w:tc>
          <w:tcPr>
            <w:tcW w:w="1411" w:type="dxa"/>
          </w:tcPr>
          <w:p w14:paraId="6C62376B" w14:textId="77777777" w:rsidR="000E7082" w:rsidRPr="00D81C19" w:rsidRDefault="000E7082" w:rsidP="000E7082">
            <w:pPr>
              <w:pStyle w:val="ListParagraph"/>
              <w:ind w:left="0"/>
              <w:rPr>
                <w:rFonts w:ascii="Times New Roman" w:hAnsi="Times New Roman" w:cs="Times New Roman"/>
              </w:rPr>
            </w:pPr>
          </w:p>
        </w:tc>
      </w:tr>
    </w:tbl>
    <w:p w14:paraId="2D6D3228" w14:textId="77777777" w:rsidR="000E7082" w:rsidRPr="00D81C19" w:rsidRDefault="000E7082" w:rsidP="000E7082">
      <w:pPr>
        <w:pStyle w:val="ListParagraph"/>
        <w:rPr>
          <w:rFonts w:ascii="Times New Roman" w:hAnsi="Times New Roman" w:cs="Times New Roman"/>
        </w:rPr>
      </w:pPr>
    </w:p>
    <w:p w14:paraId="70B352C5" w14:textId="77777777" w:rsidR="00FC1EA0" w:rsidRPr="00D81C19" w:rsidRDefault="00FC1EA0" w:rsidP="00FC1EA0">
      <w:pPr>
        <w:pStyle w:val="ListParagraph"/>
        <w:rPr>
          <w:rFonts w:ascii="Times New Roman" w:hAnsi="Times New Roman" w:cs="Times New Roman"/>
        </w:rPr>
      </w:pPr>
    </w:p>
    <w:p w14:paraId="31670772" w14:textId="2CF608AD" w:rsidR="00FC1EA0" w:rsidRPr="00D81C19" w:rsidRDefault="00FC1EA0" w:rsidP="00FC1EA0">
      <w:pPr>
        <w:pStyle w:val="ListParagraph"/>
        <w:numPr>
          <w:ilvl w:val="0"/>
          <w:numId w:val="1"/>
        </w:numPr>
        <w:rPr>
          <w:rFonts w:ascii="Times New Roman" w:hAnsi="Times New Roman" w:cs="Times New Roman"/>
        </w:rPr>
      </w:pPr>
      <w:r w:rsidRPr="00D81C19">
        <w:rPr>
          <w:rFonts w:ascii="Times New Roman" w:hAnsi="Times New Roman" w:cs="Times New Roman"/>
        </w:rPr>
        <w:t>Nutritional Benchmarks</w:t>
      </w:r>
    </w:p>
    <w:p w14:paraId="1DDE7F5A" w14:textId="0D818FC2" w:rsidR="000E7082" w:rsidRPr="00D81C19" w:rsidRDefault="00ED7F86" w:rsidP="000E7082">
      <w:pPr>
        <w:pStyle w:val="ListParagraph"/>
        <w:rPr>
          <w:rFonts w:ascii="Times New Roman" w:hAnsi="Times New Roman" w:cs="Times New Roman"/>
        </w:rPr>
      </w:pPr>
      <w:r>
        <w:rPr>
          <w:rFonts w:ascii="Times New Roman" w:hAnsi="Times New Roman" w:cs="Times New Roman"/>
        </w:rPr>
        <w:t>See excel document</w:t>
      </w:r>
      <w:bookmarkStart w:id="0" w:name="_GoBack"/>
      <w:bookmarkEnd w:id="0"/>
    </w:p>
    <w:p w14:paraId="75B78E64" w14:textId="77777777" w:rsidR="000E7082" w:rsidRPr="00D81C19" w:rsidRDefault="000E7082" w:rsidP="000E7082">
      <w:pPr>
        <w:pStyle w:val="ListParagraph"/>
        <w:rPr>
          <w:rFonts w:ascii="Times New Roman" w:hAnsi="Times New Roman" w:cs="Times New Roman"/>
        </w:rPr>
      </w:pPr>
    </w:p>
    <w:p w14:paraId="58510312" w14:textId="2214B7BD" w:rsidR="00FC1EA0" w:rsidRPr="00D81C19" w:rsidRDefault="00FC1EA0" w:rsidP="00FC1EA0">
      <w:pPr>
        <w:pStyle w:val="ListParagraph"/>
        <w:rPr>
          <w:rFonts w:ascii="Times New Roman" w:hAnsi="Times New Roman" w:cs="Times New Roman"/>
        </w:rPr>
      </w:pPr>
    </w:p>
    <w:p w14:paraId="0ACDAB55" w14:textId="5EAB84B5" w:rsidR="004F560B" w:rsidRPr="00D81C19" w:rsidRDefault="00FC1EA0" w:rsidP="004F560B">
      <w:pPr>
        <w:pStyle w:val="ListParagraph"/>
        <w:numPr>
          <w:ilvl w:val="0"/>
          <w:numId w:val="1"/>
        </w:numPr>
        <w:rPr>
          <w:rFonts w:ascii="Times New Roman" w:hAnsi="Times New Roman" w:cs="Times New Roman"/>
        </w:rPr>
      </w:pPr>
      <w:r w:rsidRPr="00D81C19">
        <w:rPr>
          <w:rFonts w:ascii="Times New Roman" w:hAnsi="Times New Roman" w:cs="Times New Roman"/>
        </w:rPr>
        <w:t>Data decisions/issues</w:t>
      </w:r>
    </w:p>
    <w:p w14:paraId="750F03C5" w14:textId="3CF6A105"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Choice of nutrition data (</w:t>
      </w:r>
      <w:proofErr w:type="spellStart"/>
      <w:r w:rsidRPr="00D81C19">
        <w:rPr>
          <w:rFonts w:ascii="Times New Roman" w:hAnsi="Times New Roman" w:cs="Times New Roman"/>
        </w:rPr>
        <w:t>Golapan</w:t>
      </w:r>
      <w:proofErr w:type="spellEnd"/>
      <w:r w:rsidRPr="00D81C19">
        <w:rPr>
          <w:rFonts w:ascii="Times New Roman" w:hAnsi="Times New Roman" w:cs="Times New Roman"/>
        </w:rPr>
        <w:t xml:space="preserve"> vs Govt of Bangladesh)</w:t>
      </w:r>
    </w:p>
    <w:p w14:paraId="5C8C1FDF" w14:textId="24BF18B9" w:rsidR="004F560B" w:rsidRPr="00D81C19" w:rsidRDefault="004F560B" w:rsidP="004F560B">
      <w:pPr>
        <w:pStyle w:val="ListParagraph"/>
        <w:numPr>
          <w:ilvl w:val="1"/>
          <w:numId w:val="1"/>
        </w:numPr>
        <w:rPr>
          <w:rFonts w:ascii="Times New Roman" w:hAnsi="Times New Roman" w:cs="Times New Roman"/>
        </w:rPr>
      </w:pPr>
      <w:r w:rsidRPr="00D81C19">
        <w:rPr>
          <w:rFonts w:ascii="Times New Roman" w:hAnsi="Times New Roman" w:cs="Times New Roman"/>
        </w:rPr>
        <w:t>Secondary source</w:t>
      </w:r>
      <w:r w:rsidR="00CD12A7" w:rsidRPr="00D81C19">
        <w:rPr>
          <w:rFonts w:ascii="Times New Roman" w:hAnsi="Times New Roman" w:cs="Times New Roman"/>
        </w:rPr>
        <w:t>s for Nutrition data</w:t>
      </w:r>
      <w:r w:rsidR="00CA2903">
        <w:rPr>
          <w:rFonts w:ascii="Times New Roman" w:hAnsi="Times New Roman" w:cs="Times New Roman"/>
        </w:rPr>
        <w:t xml:space="preserve"> and how to adapt</w:t>
      </w:r>
    </w:p>
    <w:p w14:paraId="6C89AD5C" w14:textId="291D1A9D" w:rsidR="00CD12A7" w:rsidRDefault="00C047E3" w:rsidP="004F560B">
      <w:pPr>
        <w:pStyle w:val="ListParagraph"/>
        <w:numPr>
          <w:ilvl w:val="1"/>
          <w:numId w:val="1"/>
        </w:numPr>
        <w:rPr>
          <w:rFonts w:ascii="Times New Roman" w:hAnsi="Times New Roman" w:cs="Times New Roman"/>
        </w:rPr>
      </w:pPr>
      <w:r>
        <w:rPr>
          <w:rFonts w:ascii="Times New Roman" w:hAnsi="Times New Roman" w:cs="Times New Roman"/>
        </w:rPr>
        <w:t>Categorize employment into three categories</w:t>
      </w:r>
    </w:p>
    <w:p w14:paraId="5C92D45F" w14:textId="1A40A04A" w:rsidR="00E63C34" w:rsidRPr="00D81C19" w:rsidRDefault="00E63C34" w:rsidP="004F560B">
      <w:pPr>
        <w:pStyle w:val="ListParagraph"/>
        <w:numPr>
          <w:ilvl w:val="1"/>
          <w:numId w:val="1"/>
        </w:numPr>
        <w:rPr>
          <w:rFonts w:ascii="Times New Roman" w:hAnsi="Times New Roman" w:cs="Times New Roman"/>
        </w:rPr>
      </w:pPr>
      <w:r>
        <w:rPr>
          <w:rFonts w:ascii="Times New Roman" w:hAnsi="Times New Roman" w:cs="Times New Roman"/>
        </w:rPr>
        <w:t>Determine weighting scheme</w:t>
      </w:r>
    </w:p>
    <w:p w14:paraId="72331D89" w14:textId="25208EAC" w:rsidR="004F560B" w:rsidRDefault="004F560B" w:rsidP="004F560B">
      <w:pPr>
        <w:pStyle w:val="ListParagraph"/>
        <w:ind w:left="1440"/>
        <w:rPr>
          <w:rFonts w:ascii="Times New Roman" w:hAnsi="Times New Roman" w:cs="Times New Roman"/>
        </w:rPr>
      </w:pPr>
    </w:p>
    <w:p w14:paraId="6D0E15A7" w14:textId="7734657A" w:rsidR="00D81C19" w:rsidRDefault="00D81C19" w:rsidP="004F560B">
      <w:pPr>
        <w:pStyle w:val="ListParagraph"/>
        <w:ind w:left="1440"/>
        <w:rPr>
          <w:rFonts w:ascii="Times New Roman" w:hAnsi="Times New Roman" w:cs="Times New Roman"/>
        </w:rPr>
      </w:pPr>
    </w:p>
    <w:p w14:paraId="3025F986" w14:textId="5194351B" w:rsidR="00F03239" w:rsidRDefault="00F03239" w:rsidP="004F560B">
      <w:pPr>
        <w:pStyle w:val="ListParagraph"/>
        <w:ind w:left="1440"/>
        <w:rPr>
          <w:rFonts w:ascii="Times New Roman" w:hAnsi="Times New Roman" w:cs="Times New Roman"/>
        </w:rPr>
      </w:pPr>
    </w:p>
    <w:p w14:paraId="3DC63F60" w14:textId="77777777" w:rsidR="00F03239" w:rsidRPr="00D81C19" w:rsidRDefault="00F03239" w:rsidP="004F560B">
      <w:pPr>
        <w:pStyle w:val="ListParagraph"/>
        <w:ind w:left="1440"/>
        <w:rPr>
          <w:rFonts w:ascii="Times New Roman" w:hAnsi="Times New Roman" w:cs="Times New Roman"/>
        </w:rPr>
      </w:pPr>
    </w:p>
    <w:p w14:paraId="2096BDA2" w14:textId="78EB0899" w:rsidR="004F560B" w:rsidRPr="00D81C19" w:rsidRDefault="004F560B" w:rsidP="004F560B">
      <w:pPr>
        <w:pStyle w:val="ListParagraph"/>
        <w:numPr>
          <w:ilvl w:val="0"/>
          <w:numId w:val="1"/>
        </w:numPr>
        <w:rPr>
          <w:rFonts w:ascii="Times New Roman" w:hAnsi="Times New Roman" w:cs="Times New Roman"/>
        </w:rPr>
      </w:pPr>
      <w:r w:rsidRPr="00D81C19">
        <w:rPr>
          <w:rFonts w:ascii="Times New Roman" w:hAnsi="Times New Roman" w:cs="Times New Roman"/>
        </w:rPr>
        <w:t>Reference List</w:t>
      </w:r>
    </w:p>
    <w:p w14:paraId="6E6141FC" w14:textId="242D5DAE" w:rsidR="00D81C19" w:rsidRPr="00D81C19" w:rsidRDefault="00D81C19" w:rsidP="00D81C19">
      <w:pPr>
        <w:pStyle w:val="NormalWeb"/>
        <w:ind w:left="480" w:hanging="480"/>
        <w:rPr>
          <w:sz w:val="22"/>
          <w:szCs w:val="22"/>
        </w:rPr>
      </w:pPr>
      <w:r w:rsidRPr="00D81C19">
        <w:rPr>
          <w:sz w:val="22"/>
          <w:szCs w:val="22"/>
        </w:rPr>
        <w:t xml:space="preserve">Ahmed, A., </w:t>
      </w:r>
      <w:proofErr w:type="spellStart"/>
      <w:r w:rsidRPr="00D81C19">
        <w:rPr>
          <w:sz w:val="22"/>
          <w:szCs w:val="22"/>
        </w:rPr>
        <w:t>Hoddinott</w:t>
      </w:r>
      <w:proofErr w:type="spellEnd"/>
      <w:r w:rsidRPr="00D81C19">
        <w:rPr>
          <w:sz w:val="22"/>
          <w:szCs w:val="22"/>
        </w:rPr>
        <w:t xml:space="preserve">, J., &amp; Roy, S. (2019). </w:t>
      </w:r>
      <w:r w:rsidRPr="00D81C19">
        <w:rPr>
          <w:i/>
          <w:iCs/>
          <w:sz w:val="22"/>
          <w:szCs w:val="22"/>
        </w:rPr>
        <w:t>Transfers, Nutrition Behavior Change Communication, and Household Well-being: Experimental Evidence from Bangladesh</w:t>
      </w:r>
      <w:r w:rsidRPr="00D81C19">
        <w:rPr>
          <w:sz w:val="22"/>
          <w:szCs w:val="22"/>
        </w:rPr>
        <w:t>.</w:t>
      </w:r>
    </w:p>
    <w:p w14:paraId="0A1ADED8" w14:textId="43201232" w:rsidR="00D81C19" w:rsidRPr="00D81C19" w:rsidRDefault="00D81C19" w:rsidP="00D81C19">
      <w:pPr>
        <w:pStyle w:val="NormalWeb"/>
        <w:ind w:left="480" w:hanging="480"/>
        <w:rPr>
          <w:sz w:val="22"/>
          <w:szCs w:val="22"/>
        </w:rPr>
      </w:pPr>
      <w:r w:rsidRPr="00D81C19">
        <w:rPr>
          <w:sz w:val="22"/>
          <w:szCs w:val="22"/>
        </w:rPr>
        <w:t xml:space="preserve">Brown, C., </w:t>
      </w:r>
      <w:proofErr w:type="spellStart"/>
      <w:r w:rsidRPr="00D81C19">
        <w:rPr>
          <w:sz w:val="22"/>
          <w:szCs w:val="22"/>
        </w:rPr>
        <w:t>Calvi</w:t>
      </w:r>
      <w:proofErr w:type="spellEnd"/>
      <w:r w:rsidRPr="00D81C19">
        <w:rPr>
          <w:sz w:val="22"/>
          <w:szCs w:val="22"/>
        </w:rPr>
        <w:t xml:space="preserve">, R., &amp; </w:t>
      </w:r>
      <w:proofErr w:type="spellStart"/>
      <w:r w:rsidRPr="00D81C19">
        <w:rPr>
          <w:sz w:val="22"/>
          <w:szCs w:val="22"/>
        </w:rPr>
        <w:t>Penglase</w:t>
      </w:r>
      <w:proofErr w:type="spellEnd"/>
      <w:r w:rsidRPr="00D81C19">
        <w:rPr>
          <w:sz w:val="22"/>
          <w:szCs w:val="22"/>
        </w:rPr>
        <w:t xml:space="preserve">, J. (2018). Sharing the Pie: Undernutrition, Intra-Household Allocation, and Poverty. </w:t>
      </w:r>
      <w:r w:rsidRPr="00D81C19">
        <w:rPr>
          <w:i/>
          <w:iCs/>
          <w:sz w:val="22"/>
          <w:szCs w:val="22"/>
        </w:rPr>
        <w:t>SSRN Electronic Journal</w:t>
      </w:r>
      <w:r w:rsidRPr="00D81C19">
        <w:rPr>
          <w:sz w:val="22"/>
          <w:szCs w:val="22"/>
        </w:rPr>
        <w:t xml:space="preserve">. </w:t>
      </w:r>
      <w:hyperlink r:id="rId6" w:history="1">
        <w:r w:rsidRPr="00D81C19">
          <w:rPr>
            <w:rStyle w:val="Hyperlink"/>
            <w:sz w:val="22"/>
            <w:szCs w:val="22"/>
          </w:rPr>
          <w:t>https://doi.org/10.2139/ssrn.3199129</w:t>
        </w:r>
      </w:hyperlink>
    </w:p>
    <w:p w14:paraId="0E72C020" w14:textId="77777777" w:rsidR="00D81C19" w:rsidRPr="00D81C19" w:rsidRDefault="00D81C19" w:rsidP="00D81C19">
      <w:pPr>
        <w:pStyle w:val="NormalWeb"/>
        <w:ind w:left="480" w:hanging="480"/>
        <w:rPr>
          <w:sz w:val="22"/>
          <w:szCs w:val="22"/>
        </w:rPr>
      </w:pPr>
      <w:proofErr w:type="spellStart"/>
      <w:r w:rsidRPr="00D81C19">
        <w:rPr>
          <w:sz w:val="22"/>
          <w:szCs w:val="22"/>
        </w:rPr>
        <w:t>D’souza</w:t>
      </w:r>
      <w:proofErr w:type="spellEnd"/>
      <w:r w:rsidRPr="00D81C19">
        <w:rPr>
          <w:sz w:val="22"/>
          <w:szCs w:val="22"/>
        </w:rPr>
        <w:t xml:space="preserve">, A., &amp; Tandon, S. (2019). Intrahousehold nutritional inequities in rural Bangladesh. </w:t>
      </w:r>
      <w:r w:rsidRPr="00D81C19">
        <w:rPr>
          <w:i/>
          <w:iCs/>
          <w:sz w:val="22"/>
          <w:szCs w:val="22"/>
        </w:rPr>
        <w:t>Economic Development and Cultural Change</w:t>
      </w:r>
      <w:r w:rsidRPr="00D81C19">
        <w:rPr>
          <w:sz w:val="22"/>
          <w:szCs w:val="22"/>
        </w:rPr>
        <w:t xml:space="preserve">, </w:t>
      </w:r>
      <w:r w:rsidRPr="00D81C19">
        <w:rPr>
          <w:i/>
          <w:iCs/>
          <w:sz w:val="22"/>
          <w:szCs w:val="22"/>
        </w:rPr>
        <w:t>67</w:t>
      </w:r>
      <w:r w:rsidRPr="00D81C19">
        <w:rPr>
          <w:sz w:val="22"/>
          <w:szCs w:val="22"/>
        </w:rPr>
        <w:t>(3), 625–657. https://doi.org/10.1086/698311</w:t>
      </w:r>
    </w:p>
    <w:p w14:paraId="5D17EF3E" w14:textId="77777777" w:rsidR="00D81C19" w:rsidRPr="00D81C19" w:rsidRDefault="00D81C19" w:rsidP="00D81C19">
      <w:pPr>
        <w:pStyle w:val="NormalWeb"/>
        <w:ind w:left="480" w:hanging="480"/>
        <w:rPr>
          <w:sz w:val="22"/>
          <w:szCs w:val="22"/>
        </w:rPr>
      </w:pPr>
      <w:r w:rsidRPr="00D81C19">
        <w:rPr>
          <w:sz w:val="22"/>
          <w:szCs w:val="22"/>
        </w:rPr>
        <w:t xml:space="preserve">Dillon, A., Arsenault, J., &amp; Olney, D. (2019). Nutrient Production and Micronutrient Gaps: Evidence from an Agriculture-Nutrition Randomized Control Trial. </w:t>
      </w:r>
      <w:r w:rsidRPr="00D81C19">
        <w:rPr>
          <w:i/>
          <w:iCs/>
          <w:sz w:val="22"/>
          <w:szCs w:val="22"/>
        </w:rPr>
        <w:t>American Journal of Agricultural Economics</w:t>
      </w:r>
      <w:r w:rsidRPr="00D81C19">
        <w:rPr>
          <w:sz w:val="22"/>
          <w:szCs w:val="22"/>
        </w:rPr>
        <w:t xml:space="preserve">, </w:t>
      </w:r>
      <w:r w:rsidRPr="00D81C19">
        <w:rPr>
          <w:i/>
          <w:iCs/>
          <w:sz w:val="22"/>
          <w:szCs w:val="22"/>
        </w:rPr>
        <w:t>101</w:t>
      </w:r>
      <w:r w:rsidRPr="00D81C19">
        <w:rPr>
          <w:sz w:val="22"/>
          <w:szCs w:val="22"/>
        </w:rPr>
        <w:t>(3), 732–752. https://doi.org/10.1093/ajae/aay067</w:t>
      </w:r>
    </w:p>
    <w:p w14:paraId="0DF2ED83" w14:textId="77777777" w:rsidR="00D81C19" w:rsidRPr="00D81C19" w:rsidRDefault="00D81C19" w:rsidP="00D81C19">
      <w:pPr>
        <w:pStyle w:val="NormalWeb"/>
        <w:ind w:left="480" w:hanging="480"/>
        <w:rPr>
          <w:sz w:val="22"/>
          <w:szCs w:val="22"/>
        </w:rPr>
      </w:pPr>
      <w:proofErr w:type="spellStart"/>
      <w:r w:rsidRPr="00D81C19">
        <w:rPr>
          <w:sz w:val="22"/>
          <w:szCs w:val="22"/>
        </w:rPr>
        <w:t>Karageorgou</w:t>
      </w:r>
      <w:proofErr w:type="spellEnd"/>
      <w:r w:rsidRPr="00D81C19">
        <w:rPr>
          <w:sz w:val="22"/>
          <w:szCs w:val="22"/>
        </w:rPr>
        <w:t xml:space="preserve">, D., Imamura, F., Zhang, J., Shi, P., </w:t>
      </w:r>
      <w:proofErr w:type="spellStart"/>
      <w:r w:rsidRPr="00D81C19">
        <w:rPr>
          <w:sz w:val="22"/>
          <w:szCs w:val="22"/>
        </w:rPr>
        <w:t>Mozaffarian</w:t>
      </w:r>
      <w:proofErr w:type="spellEnd"/>
      <w:r w:rsidRPr="00D81C19">
        <w:rPr>
          <w:sz w:val="22"/>
          <w:szCs w:val="22"/>
        </w:rPr>
        <w:t xml:space="preserve">, D., &amp; Micha, R. (2018). Assessing dietary intakes from household budget surveys: A national analysis in Bangladesh. </w:t>
      </w:r>
      <w:proofErr w:type="spellStart"/>
      <w:r w:rsidRPr="00D81C19">
        <w:rPr>
          <w:i/>
          <w:iCs/>
          <w:sz w:val="22"/>
          <w:szCs w:val="22"/>
        </w:rPr>
        <w:t>PLoS</w:t>
      </w:r>
      <w:proofErr w:type="spellEnd"/>
      <w:r w:rsidRPr="00D81C19">
        <w:rPr>
          <w:i/>
          <w:iCs/>
          <w:sz w:val="22"/>
          <w:szCs w:val="22"/>
        </w:rPr>
        <w:t xml:space="preserve"> ONE</w:t>
      </w:r>
      <w:r w:rsidRPr="00D81C19">
        <w:rPr>
          <w:sz w:val="22"/>
          <w:szCs w:val="22"/>
        </w:rPr>
        <w:t xml:space="preserve">, </w:t>
      </w:r>
      <w:r w:rsidRPr="00D81C19">
        <w:rPr>
          <w:i/>
          <w:iCs/>
          <w:sz w:val="22"/>
          <w:szCs w:val="22"/>
        </w:rPr>
        <w:t>13</w:t>
      </w:r>
      <w:r w:rsidRPr="00D81C19">
        <w:rPr>
          <w:sz w:val="22"/>
          <w:szCs w:val="22"/>
        </w:rPr>
        <w:t>(8), 1–22. https://doi.org/10.1371/journal.pone.0202831</w:t>
      </w:r>
    </w:p>
    <w:p w14:paraId="785424EC" w14:textId="77777777" w:rsidR="00D81C19" w:rsidRPr="00D81C19" w:rsidRDefault="00D81C19" w:rsidP="00D81C19">
      <w:pPr>
        <w:pStyle w:val="NormalWeb"/>
        <w:ind w:left="480" w:hanging="480"/>
        <w:rPr>
          <w:sz w:val="22"/>
          <w:szCs w:val="22"/>
        </w:rPr>
      </w:pPr>
      <w:proofErr w:type="spellStart"/>
      <w:r w:rsidRPr="00D81C19">
        <w:rPr>
          <w:sz w:val="22"/>
          <w:szCs w:val="22"/>
        </w:rPr>
        <w:lastRenderedPageBreak/>
        <w:t>Mangyo</w:t>
      </w:r>
      <w:proofErr w:type="spellEnd"/>
      <w:r w:rsidRPr="00D81C19">
        <w:rPr>
          <w:sz w:val="22"/>
          <w:szCs w:val="22"/>
        </w:rPr>
        <w:t xml:space="preserve">, E. (2008). Who benefits more from higher household consumption? The intra-household allocation of nutrients in China. </w:t>
      </w:r>
      <w:r w:rsidRPr="00D81C19">
        <w:rPr>
          <w:i/>
          <w:iCs/>
          <w:sz w:val="22"/>
          <w:szCs w:val="22"/>
        </w:rPr>
        <w:t>Journal of Development Economics</w:t>
      </w:r>
      <w:r w:rsidRPr="00D81C19">
        <w:rPr>
          <w:sz w:val="22"/>
          <w:szCs w:val="22"/>
        </w:rPr>
        <w:t xml:space="preserve">, </w:t>
      </w:r>
      <w:r w:rsidRPr="00D81C19">
        <w:rPr>
          <w:i/>
          <w:iCs/>
          <w:sz w:val="22"/>
          <w:szCs w:val="22"/>
        </w:rPr>
        <w:t>86</w:t>
      </w:r>
      <w:r w:rsidRPr="00D81C19">
        <w:rPr>
          <w:sz w:val="22"/>
          <w:szCs w:val="22"/>
        </w:rPr>
        <w:t>(2), 296–312. https://doi.org/10.1016/j.jdeveco.2007.03.002</w:t>
      </w:r>
    </w:p>
    <w:p w14:paraId="71F4075F" w14:textId="77777777" w:rsidR="00D81C19" w:rsidRPr="00D81C19" w:rsidRDefault="00D81C19" w:rsidP="00D81C19">
      <w:pPr>
        <w:pStyle w:val="NormalWeb"/>
        <w:ind w:left="480" w:hanging="480"/>
        <w:rPr>
          <w:sz w:val="22"/>
          <w:szCs w:val="22"/>
        </w:rPr>
      </w:pPr>
      <w:r w:rsidRPr="00D81C19">
        <w:rPr>
          <w:sz w:val="22"/>
          <w:szCs w:val="22"/>
        </w:rPr>
        <w:t xml:space="preserve">Marcoux, A. (2002). Sex Differentials in Undernutrition: A Look at Survey Evidence. </w:t>
      </w:r>
      <w:r w:rsidRPr="00D81C19">
        <w:rPr>
          <w:i/>
          <w:iCs/>
          <w:sz w:val="22"/>
          <w:szCs w:val="22"/>
        </w:rPr>
        <w:t>Population and Development Review</w:t>
      </w:r>
      <w:r w:rsidRPr="00D81C19">
        <w:rPr>
          <w:sz w:val="22"/>
          <w:szCs w:val="22"/>
        </w:rPr>
        <w:t>, Vol. 28, pp. 275–284. https://doi.org/10.1111/j.1728-4457.2002.00275.x</w:t>
      </w:r>
    </w:p>
    <w:p w14:paraId="0333EF7B" w14:textId="77777777" w:rsidR="00D81C19" w:rsidRPr="00D81C19" w:rsidRDefault="00D81C19" w:rsidP="00D81C19">
      <w:pPr>
        <w:pStyle w:val="NormalWeb"/>
        <w:ind w:left="480" w:hanging="480"/>
        <w:rPr>
          <w:sz w:val="22"/>
          <w:szCs w:val="22"/>
        </w:rPr>
      </w:pPr>
      <w:proofErr w:type="spellStart"/>
      <w:r w:rsidRPr="00D81C19">
        <w:rPr>
          <w:sz w:val="22"/>
          <w:szCs w:val="22"/>
        </w:rPr>
        <w:t>Sahn</w:t>
      </w:r>
      <w:proofErr w:type="spellEnd"/>
      <w:r w:rsidRPr="00D81C19">
        <w:rPr>
          <w:sz w:val="22"/>
          <w:szCs w:val="22"/>
        </w:rPr>
        <w:t xml:space="preserve">, D. E., &amp; Younger, S. D. (2010). Intended and Unintended Consequences of a Proposed National Tax on Sugar-Sweetened Beverages </w:t>
      </w:r>
      <w:proofErr w:type="gramStart"/>
      <w:r w:rsidRPr="00D81C19">
        <w:rPr>
          <w:sz w:val="22"/>
          <w:szCs w:val="22"/>
        </w:rPr>
        <w:t>To</w:t>
      </w:r>
      <w:proofErr w:type="gramEnd"/>
      <w:r w:rsidRPr="00D81C19">
        <w:rPr>
          <w:sz w:val="22"/>
          <w:szCs w:val="22"/>
        </w:rPr>
        <w:t xml:space="preserve"> Combat the U.S. Obesity Problem. </w:t>
      </w:r>
      <w:r w:rsidRPr="00D81C19">
        <w:rPr>
          <w:i/>
          <w:iCs/>
          <w:sz w:val="22"/>
          <w:szCs w:val="22"/>
        </w:rPr>
        <w:t>Health Economics</w:t>
      </w:r>
      <w:r w:rsidRPr="00D81C19">
        <w:rPr>
          <w:sz w:val="22"/>
          <w:szCs w:val="22"/>
        </w:rPr>
        <w:t xml:space="preserve">, </w:t>
      </w:r>
      <w:r w:rsidRPr="00D81C19">
        <w:rPr>
          <w:i/>
          <w:iCs/>
          <w:sz w:val="22"/>
          <w:szCs w:val="22"/>
        </w:rPr>
        <w:t>19</w:t>
      </w:r>
      <w:r w:rsidRPr="00D81C19">
        <w:rPr>
          <w:sz w:val="22"/>
          <w:szCs w:val="22"/>
        </w:rPr>
        <w:t>(11), 1300–1317. https://doi.org/10.1002/hec</w:t>
      </w:r>
    </w:p>
    <w:p w14:paraId="6BB5CFF0" w14:textId="31CA9E07" w:rsidR="00D81C19" w:rsidRDefault="00D81C19" w:rsidP="00D81C19"/>
    <w:sectPr w:rsidR="00D8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50A6"/>
    <w:multiLevelType w:val="hybridMultilevel"/>
    <w:tmpl w:val="6164C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0305AA"/>
    <w:multiLevelType w:val="hybridMultilevel"/>
    <w:tmpl w:val="4244B298"/>
    <w:lvl w:ilvl="0" w:tplc="3CB65E8E">
      <w:start w:val="1"/>
      <w:numFmt w:val="decimal"/>
      <w:lvlText w:val="%1."/>
      <w:lvlJc w:val="left"/>
      <w:pPr>
        <w:ind w:left="360" w:hanging="288"/>
      </w:pPr>
      <w:rPr>
        <w:rFonts w:hint="default"/>
      </w:rPr>
    </w:lvl>
    <w:lvl w:ilvl="1" w:tplc="BE5A37C4">
      <w:start w:val="1"/>
      <w:numFmt w:val="lowerLetter"/>
      <w:lvlText w:val="%2."/>
      <w:lvlJc w:val="left"/>
      <w:pPr>
        <w:ind w:left="864" w:hanging="216"/>
      </w:pPr>
      <w:rPr>
        <w:rFonts w:hint="default"/>
      </w:rPr>
    </w:lvl>
    <w:lvl w:ilvl="2" w:tplc="4D9254B6">
      <w:start w:val="1"/>
      <w:numFmt w:val="lowerRoman"/>
      <w:lvlText w:val="%3."/>
      <w:lvlJc w:val="right"/>
      <w:pPr>
        <w:ind w:left="1944" w:hanging="216"/>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7477A"/>
    <w:multiLevelType w:val="hybridMultilevel"/>
    <w:tmpl w:val="73EEF644"/>
    <w:lvl w:ilvl="0" w:tplc="002AAB4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A0"/>
    <w:rsid w:val="000E7082"/>
    <w:rsid w:val="00111B5A"/>
    <w:rsid w:val="001C0119"/>
    <w:rsid w:val="00210896"/>
    <w:rsid w:val="00325A94"/>
    <w:rsid w:val="00342A1E"/>
    <w:rsid w:val="003B7434"/>
    <w:rsid w:val="00411CB5"/>
    <w:rsid w:val="004E244E"/>
    <w:rsid w:val="004F560B"/>
    <w:rsid w:val="00680D65"/>
    <w:rsid w:val="00725FBE"/>
    <w:rsid w:val="00777EA5"/>
    <w:rsid w:val="00807990"/>
    <w:rsid w:val="008F1DAD"/>
    <w:rsid w:val="00931ACD"/>
    <w:rsid w:val="00B41554"/>
    <w:rsid w:val="00C047E3"/>
    <w:rsid w:val="00CA2903"/>
    <w:rsid w:val="00CA4483"/>
    <w:rsid w:val="00CD12A7"/>
    <w:rsid w:val="00D748E9"/>
    <w:rsid w:val="00D81C19"/>
    <w:rsid w:val="00E139F4"/>
    <w:rsid w:val="00E63C34"/>
    <w:rsid w:val="00ED7F86"/>
    <w:rsid w:val="00EF01CE"/>
    <w:rsid w:val="00F03239"/>
    <w:rsid w:val="00FC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D6D3"/>
  <w15:chartTrackingRefBased/>
  <w15:docId w15:val="{D0633F04-FA95-4BB7-B9DF-7EAA6AF5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EA0"/>
    <w:pPr>
      <w:ind w:left="720"/>
      <w:contextualSpacing/>
    </w:pPr>
  </w:style>
  <w:style w:type="table" w:styleId="TableGrid">
    <w:name w:val="Table Grid"/>
    <w:basedOn w:val="TableNormal"/>
    <w:uiPriority w:val="39"/>
    <w:rsid w:val="000E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81C19"/>
    <w:rPr>
      <w:color w:val="808080"/>
    </w:rPr>
  </w:style>
  <w:style w:type="paragraph" w:styleId="NormalWeb">
    <w:name w:val="Normal (Web)"/>
    <w:basedOn w:val="Normal"/>
    <w:uiPriority w:val="99"/>
    <w:semiHidden/>
    <w:unhideWhenUsed/>
    <w:rsid w:val="00D81C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1C19"/>
    <w:rPr>
      <w:color w:val="0563C1" w:themeColor="hyperlink"/>
      <w:u w:val="single"/>
    </w:rPr>
  </w:style>
  <w:style w:type="character" w:styleId="UnresolvedMention">
    <w:name w:val="Unresolved Mention"/>
    <w:basedOn w:val="DefaultParagraphFont"/>
    <w:uiPriority w:val="99"/>
    <w:semiHidden/>
    <w:unhideWhenUsed/>
    <w:rsid w:val="00D81C19"/>
    <w:rPr>
      <w:color w:val="605E5C"/>
      <w:shd w:val="clear" w:color="auto" w:fill="E1DFDD"/>
    </w:rPr>
  </w:style>
  <w:style w:type="character" w:customStyle="1" w:styleId="Heading1Char">
    <w:name w:val="Heading 1 Char"/>
    <w:basedOn w:val="DefaultParagraphFont"/>
    <w:link w:val="Heading1"/>
    <w:uiPriority w:val="9"/>
    <w:rsid w:val="008F1D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7147">
      <w:bodyDiv w:val="1"/>
      <w:marLeft w:val="0"/>
      <w:marRight w:val="0"/>
      <w:marTop w:val="0"/>
      <w:marBottom w:val="0"/>
      <w:divBdr>
        <w:top w:val="none" w:sz="0" w:space="0" w:color="auto"/>
        <w:left w:val="none" w:sz="0" w:space="0" w:color="auto"/>
        <w:bottom w:val="none" w:sz="0" w:space="0" w:color="auto"/>
        <w:right w:val="none" w:sz="0" w:space="0" w:color="auto"/>
      </w:divBdr>
    </w:div>
    <w:div w:id="145900285">
      <w:bodyDiv w:val="1"/>
      <w:marLeft w:val="0"/>
      <w:marRight w:val="0"/>
      <w:marTop w:val="0"/>
      <w:marBottom w:val="0"/>
      <w:divBdr>
        <w:top w:val="none" w:sz="0" w:space="0" w:color="auto"/>
        <w:left w:val="none" w:sz="0" w:space="0" w:color="auto"/>
        <w:bottom w:val="none" w:sz="0" w:space="0" w:color="auto"/>
        <w:right w:val="none" w:sz="0" w:space="0" w:color="auto"/>
      </w:divBdr>
    </w:div>
    <w:div w:id="252277142">
      <w:bodyDiv w:val="1"/>
      <w:marLeft w:val="0"/>
      <w:marRight w:val="0"/>
      <w:marTop w:val="0"/>
      <w:marBottom w:val="0"/>
      <w:divBdr>
        <w:top w:val="none" w:sz="0" w:space="0" w:color="auto"/>
        <w:left w:val="none" w:sz="0" w:space="0" w:color="auto"/>
        <w:bottom w:val="none" w:sz="0" w:space="0" w:color="auto"/>
        <w:right w:val="none" w:sz="0" w:space="0" w:color="auto"/>
      </w:divBdr>
    </w:div>
    <w:div w:id="287319032">
      <w:bodyDiv w:val="1"/>
      <w:marLeft w:val="0"/>
      <w:marRight w:val="0"/>
      <w:marTop w:val="0"/>
      <w:marBottom w:val="0"/>
      <w:divBdr>
        <w:top w:val="none" w:sz="0" w:space="0" w:color="auto"/>
        <w:left w:val="none" w:sz="0" w:space="0" w:color="auto"/>
        <w:bottom w:val="none" w:sz="0" w:space="0" w:color="auto"/>
        <w:right w:val="none" w:sz="0" w:space="0" w:color="auto"/>
      </w:divBdr>
    </w:div>
    <w:div w:id="361514252">
      <w:bodyDiv w:val="1"/>
      <w:marLeft w:val="0"/>
      <w:marRight w:val="0"/>
      <w:marTop w:val="0"/>
      <w:marBottom w:val="0"/>
      <w:divBdr>
        <w:top w:val="none" w:sz="0" w:space="0" w:color="auto"/>
        <w:left w:val="none" w:sz="0" w:space="0" w:color="auto"/>
        <w:bottom w:val="none" w:sz="0" w:space="0" w:color="auto"/>
        <w:right w:val="none" w:sz="0" w:space="0" w:color="auto"/>
      </w:divBdr>
    </w:div>
    <w:div w:id="367029414">
      <w:bodyDiv w:val="1"/>
      <w:marLeft w:val="0"/>
      <w:marRight w:val="0"/>
      <w:marTop w:val="0"/>
      <w:marBottom w:val="0"/>
      <w:divBdr>
        <w:top w:val="none" w:sz="0" w:space="0" w:color="auto"/>
        <w:left w:val="none" w:sz="0" w:space="0" w:color="auto"/>
        <w:bottom w:val="none" w:sz="0" w:space="0" w:color="auto"/>
        <w:right w:val="none" w:sz="0" w:space="0" w:color="auto"/>
      </w:divBdr>
    </w:div>
    <w:div w:id="453062171">
      <w:bodyDiv w:val="1"/>
      <w:marLeft w:val="0"/>
      <w:marRight w:val="0"/>
      <w:marTop w:val="0"/>
      <w:marBottom w:val="0"/>
      <w:divBdr>
        <w:top w:val="none" w:sz="0" w:space="0" w:color="auto"/>
        <w:left w:val="none" w:sz="0" w:space="0" w:color="auto"/>
        <w:bottom w:val="none" w:sz="0" w:space="0" w:color="auto"/>
        <w:right w:val="none" w:sz="0" w:space="0" w:color="auto"/>
      </w:divBdr>
    </w:div>
    <w:div w:id="476920012">
      <w:bodyDiv w:val="1"/>
      <w:marLeft w:val="0"/>
      <w:marRight w:val="0"/>
      <w:marTop w:val="0"/>
      <w:marBottom w:val="0"/>
      <w:divBdr>
        <w:top w:val="none" w:sz="0" w:space="0" w:color="auto"/>
        <w:left w:val="none" w:sz="0" w:space="0" w:color="auto"/>
        <w:bottom w:val="none" w:sz="0" w:space="0" w:color="auto"/>
        <w:right w:val="none" w:sz="0" w:space="0" w:color="auto"/>
      </w:divBdr>
    </w:div>
    <w:div w:id="478501601">
      <w:bodyDiv w:val="1"/>
      <w:marLeft w:val="0"/>
      <w:marRight w:val="0"/>
      <w:marTop w:val="0"/>
      <w:marBottom w:val="0"/>
      <w:divBdr>
        <w:top w:val="none" w:sz="0" w:space="0" w:color="auto"/>
        <w:left w:val="none" w:sz="0" w:space="0" w:color="auto"/>
        <w:bottom w:val="none" w:sz="0" w:space="0" w:color="auto"/>
        <w:right w:val="none" w:sz="0" w:space="0" w:color="auto"/>
      </w:divBdr>
    </w:div>
    <w:div w:id="572008895">
      <w:bodyDiv w:val="1"/>
      <w:marLeft w:val="0"/>
      <w:marRight w:val="0"/>
      <w:marTop w:val="0"/>
      <w:marBottom w:val="0"/>
      <w:divBdr>
        <w:top w:val="none" w:sz="0" w:space="0" w:color="auto"/>
        <w:left w:val="none" w:sz="0" w:space="0" w:color="auto"/>
        <w:bottom w:val="none" w:sz="0" w:space="0" w:color="auto"/>
        <w:right w:val="none" w:sz="0" w:space="0" w:color="auto"/>
      </w:divBdr>
    </w:div>
    <w:div w:id="611329296">
      <w:bodyDiv w:val="1"/>
      <w:marLeft w:val="0"/>
      <w:marRight w:val="0"/>
      <w:marTop w:val="0"/>
      <w:marBottom w:val="0"/>
      <w:divBdr>
        <w:top w:val="none" w:sz="0" w:space="0" w:color="auto"/>
        <w:left w:val="none" w:sz="0" w:space="0" w:color="auto"/>
        <w:bottom w:val="none" w:sz="0" w:space="0" w:color="auto"/>
        <w:right w:val="none" w:sz="0" w:space="0" w:color="auto"/>
      </w:divBdr>
    </w:div>
    <w:div w:id="691800792">
      <w:bodyDiv w:val="1"/>
      <w:marLeft w:val="0"/>
      <w:marRight w:val="0"/>
      <w:marTop w:val="0"/>
      <w:marBottom w:val="0"/>
      <w:divBdr>
        <w:top w:val="none" w:sz="0" w:space="0" w:color="auto"/>
        <w:left w:val="none" w:sz="0" w:space="0" w:color="auto"/>
        <w:bottom w:val="none" w:sz="0" w:space="0" w:color="auto"/>
        <w:right w:val="none" w:sz="0" w:space="0" w:color="auto"/>
      </w:divBdr>
    </w:div>
    <w:div w:id="927469005">
      <w:bodyDiv w:val="1"/>
      <w:marLeft w:val="0"/>
      <w:marRight w:val="0"/>
      <w:marTop w:val="0"/>
      <w:marBottom w:val="0"/>
      <w:divBdr>
        <w:top w:val="none" w:sz="0" w:space="0" w:color="auto"/>
        <w:left w:val="none" w:sz="0" w:space="0" w:color="auto"/>
        <w:bottom w:val="none" w:sz="0" w:space="0" w:color="auto"/>
        <w:right w:val="none" w:sz="0" w:space="0" w:color="auto"/>
      </w:divBdr>
    </w:div>
    <w:div w:id="963386816">
      <w:bodyDiv w:val="1"/>
      <w:marLeft w:val="0"/>
      <w:marRight w:val="0"/>
      <w:marTop w:val="0"/>
      <w:marBottom w:val="0"/>
      <w:divBdr>
        <w:top w:val="none" w:sz="0" w:space="0" w:color="auto"/>
        <w:left w:val="none" w:sz="0" w:space="0" w:color="auto"/>
        <w:bottom w:val="none" w:sz="0" w:space="0" w:color="auto"/>
        <w:right w:val="none" w:sz="0" w:space="0" w:color="auto"/>
      </w:divBdr>
    </w:div>
    <w:div w:id="1006443676">
      <w:bodyDiv w:val="1"/>
      <w:marLeft w:val="0"/>
      <w:marRight w:val="0"/>
      <w:marTop w:val="0"/>
      <w:marBottom w:val="0"/>
      <w:divBdr>
        <w:top w:val="none" w:sz="0" w:space="0" w:color="auto"/>
        <w:left w:val="none" w:sz="0" w:space="0" w:color="auto"/>
        <w:bottom w:val="none" w:sz="0" w:space="0" w:color="auto"/>
        <w:right w:val="none" w:sz="0" w:space="0" w:color="auto"/>
      </w:divBdr>
    </w:div>
    <w:div w:id="1143540459">
      <w:bodyDiv w:val="1"/>
      <w:marLeft w:val="0"/>
      <w:marRight w:val="0"/>
      <w:marTop w:val="0"/>
      <w:marBottom w:val="0"/>
      <w:divBdr>
        <w:top w:val="none" w:sz="0" w:space="0" w:color="auto"/>
        <w:left w:val="none" w:sz="0" w:space="0" w:color="auto"/>
        <w:bottom w:val="none" w:sz="0" w:space="0" w:color="auto"/>
        <w:right w:val="none" w:sz="0" w:space="0" w:color="auto"/>
      </w:divBdr>
    </w:div>
    <w:div w:id="1438596853">
      <w:bodyDiv w:val="1"/>
      <w:marLeft w:val="0"/>
      <w:marRight w:val="0"/>
      <w:marTop w:val="0"/>
      <w:marBottom w:val="0"/>
      <w:divBdr>
        <w:top w:val="none" w:sz="0" w:space="0" w:color="auto"/>
        <w:left w:val="none" w:sz="0" w:space="0" w:color="auto"/>
        <w:bottom w:val="none" w:sz="0" w:space="0" w:color="auto"/>
        <w:right w:val="none" w:sz="0" w:space="0" w:color="auto"/>
      </w:divBdr>
    </w:div>
    <w:div w:id="1482191944">
      <w:bodyDiv w:val="1"/>
      <w:marLeft w:val="0"/>
      <w:marRight w:val="0"/>
      <w:marTop w:val="0"/>
      <w:marBottom w:val="0"/>
      <w:divBdr>
        <w:top w:val="none" w:sz="0" w:space="0" w:color="auto"/>
        <w:left w:val="none" w:sz="0" w:space="0" w:color="auto"/>
        <w:bottom w:val="none" w:sz="0" w:space="0" w:color="auto"/>
        <w:right w:val="none" w:sz="0" w:space="0" w:color="auto"/>
      </w:divBdr>
    </w:div>
    <w:div w:id="1516504755">
      <w:bodyDiv w:val="1"/>
      <w:marLeft w:val="0"/>
      <w:marRight w:val="0"/>
      <w:marTop w:val="0"/>
      <w:marBottom w:val="0"/>
      <w:divBdr>
        <w:top w:val="none" w:sz="0" w:space="0" w:color="auto"/>
        <w:left w:val="none" w:sz="0" w:space="0" w:color="auto"/>
        <w:bottom w:val="none" w:sz="0" w:space="0" w:color="auto"/>
        <w:right w:val="none" w:sz="0" w:space="0" w:color="auto"/>
      </w:divBdr>
    </w:div>
    <w:div w:id="2034960541">
      <w:bodyDiv w:val="1"/>
      <w:marLeft w:val="0"/>
      <w:marRight w:val="0"/>
      <w:marTop w:val="0"/>
      <w:marBottom w:val="0"/>
      <w:divBdr>
        <w:top w:val="none" w:sz="0" w:space="0" w:color="auto"/>
        <w:left w:val="none" w:sz="0" w:space="0" w:color="auto"/>
        <w:bottom w:val="none" w:sz="0" w:space="0" w:color="auto"/>
        <w:right w:val="none" w:sz="0" w:space="0" w:color="auto"/>
      </w:divBdr>
    </w:div>
    <w:div w:id="2085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139/ssrn.319912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ABC973-CC99-4877-9421-A7A811291586}">
  <we:reference id="wa104382081" version="1.5.0.0" store="en-US" storeType="OMEX"/>
  <we:alternateReferences>
    <we:reference id="wa104382081" version="1.5.0.0" store="" storeType="OMEX"/>
  </we:alternateReferences>
  <we:properties>
    <we:property name="MENDELEY_CITATIONS" value="[{&quot;citationID&quot;:&quot;MENDELEY_CITATION_5c8fa526-7113-4e99-b8f9-6428d0ff40a8&quot;,&quot;citationItems&quot;:[{&quot;id&quot;:&quot;1bac99b7-cecd-3f40-8532-df5c20d6ee43&quot;,&quot;itemData&quot;:{&quot;type&quot;:&quot;article-journal&quot;,&quot;id&quot;:&quot;1bac99b7-cecd-3f40-8532-df5c20d6ee43&quot;,&quot;title&quot;:&quot;Intended and Unintended Consequences of a Proposed National Tax on Sugar-Sweetened Beverages To Combat the U.S. Obesity Problem&quot;,&quot;author&quot;:[{&quot;family&quot;:&quot;Sahn&quot;,&quot;given&quot;:&quot;David E.&quot;,&quot;parse-names&quot;:false,&quot;dropping-particle&quot;:&quot;&quot;,&quot;non-dropping-particle&quot;:&quot;&quot;},{&quot;family&quot;:&quot;Younger&quot;,&quot;given&quot;:&quot;Stephen D.&quot;,&quot;parse-names&quot;:false,&quot;dropping-particle&quot;:&quot;&quot;,&quot;non-dropping-particle&quot;:&quot;&quot;}],&quot;container-title&quot;:&quot;Health economics&quot;,&quot;DOI&quot;:&quot;10.1002/hec&quot;,&quot;ISBN&quot;:&quot;1099-1050; 1057-9230&quot;,&quot;ISSN&quot;:&quot;1099-1050&quot;,&quot;PMID&quot;:&quot;19816948&quot;,&quot;issued&quot;:{&quot;date-parts&quot;:[[2010]]},&quot;page&quot;:&quot;1300-1317&quot;,&quot;abstract&quot;:&quot;Despite its centrality for the provision of health care, physician compensation remains understudied, and existing studies either fail to control for time trends, cover small samples from highly particular settings, or examine empirically negligible changes in reward levels. Using a four-year sample of 59 physicians and 1.1 million encounters, we study how physicians at a network of primary care clinics responded when their salaried compensation plan was replaced with a lower salary plus substantial piece rates for encounters and select procedures. Although patient characteristics remained unchanged, physicians increased encounters by 11 to 61%, both by increasing encounters per day and days worked at the network, and increased procedures to the maximum reimbursable level.&quot;,&quot;issue&quot;:&quot;11&quot;,&quot;volume&quot;:&quot;19&quot;}}],&quot;properties&quot;:{&quot;noteIndex&quot;:0}}]"/>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EC15-CF4D-4CF1-89C9-A785FAAF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Cardell, Lila</dc:creator>
  <cp:keywords/>
  <dc:description/>
  <cp:lastModifiedBy>Cardell, Lila</cp:lastModifiedBy>
  <cp:revision>17</cp:revision>
  <dcterms:created xsi:type="dcterms:W3CDTF">2019-10-23T15:18:00Z</dcterms:created>
  <dcterms:modified xsi:type="dcterms:W3CDTF">2019-10-30T23:52:00Z</dcterms:modified>
</cp:coreProperties>
</file>