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6F45" w14:textId="2A4AD341" w:rsidR="008A5CE8" w:rsidRPr="00F8365A" w:rsidRDefault="00BA76CD" w:rsidP="00F8365A">
      <w:pPr>
        <w:spacing w:line="276" w:lineRule="auto"/>
        <w:rPr>
          <w:rFonts w:ascii="Times New Roman" w:eastAsia="Times New Roman" w:hAnsi="Times New Roman" w:cs="Times New Roman"/>
          <w:i/>
          <w:iCs/>
          <w:color w:val="212529"/>
          <w:sz w:val="22"/>
          <w:szCs w:val="22"/>
          <w:shd w:val="clear" w:color="auto" w:fill="FFFFFF"/>
        </w:rPr>
      </w:pPr>
      <w:r w:rsidRPr="00F8365A">
        <w:rPr>
          <w:rFonts w:ascii="Times New Roman" w:eastAsia="Times New Roman" w:hAnsi="Times New Roman" w:cs="Times New Roman"/>
          <w:i/>
          <w:iCs/>
          <w:color w:val="212529"/>
          <w:sz w:val="22"/>
          <w:szCs w:val="22"/>
          <w:shd w:val="clear" w:color="auto" w:fill="FFFFFF"/>
        </w:rPr>
        <w:t xml:space="preserve">How does the choice of method </w:t>
      </w:r>
      <w:r w:rsidR="006A52AC" w:rsidRPr="00F8365A">
        <w:rPr>
          <w:rFonts w:ascii="Times New Roman" w:eastAsia="Times New Roman" w:hAnsi="Times New Roman" w:cs="Times New Roman"/>
          <w:i/>
          <w:iCs/>
          <w:color w:val="212529"/>
          <w:sz w:val="22"/>
          <w:szCs w:val="22"/>
          <w:shd w:val="clear" w:color="auto" w:fill="FFFFFF"/>
        </w:rPr>
        <w:t>influence</w:t>
      </w:r>
      <w:r w:rsidR="00952284" w:rsidRPr="00F8365A">
        <w:rPr>
          <w:rFonts w:ascii="Times New Roman" w:eastAsia="Times New Roman" w:hAnsi="Times New Roman" w:cs="Times New Roman"/>
          <w:i/>
          <w:iCs/>
          <w:color w:val="212529"/>
          <w:sz w:val="22"/>
          <w:szCs w:val="22"/>
          <w:shd w:val="clear" w:color="auto" w:fill="FFFFFF"/>
        </w:rPr>
        <w:t xml:space="preserve"> </w:t>
      </w:r>
      <w:r w:rsidRPr="00F8365A">
        <w:rPr>
          <w:rFonts w:ascii="Times New Roman" w:eastAsia="Times New Roman" w:hAnsi="Times New Roman" w:cs="Times New Roman"/>
          <w:i/>
          <w:iCs/>
          <w:color w:val="212529"/>
          <w:sz w:val="22"/>
          <w:szCs w:val="22"/>
          <w:shd w:val="clear" w:color="auto" w:fill="FFFFFF"/>
        </w:rPr>
        <w:t>differences in intrahousehold nutrition</w:t>
      </w:r>
      <w:r w:rsidR="00345C13">
        <w:rPr>
          <w:rFonts w:ascii="Times New Roman" w:eastAsia="Times New Roman" w:hAnsi="Times New Roman" w:cs="Times New Roman"/>
          <w:i/>
          <w:iCs/>
          <w:color w:val="212529"/>
          <w:sz w:val="22"/>
          <w:szCs w:val="22"/>
          <w:shd w:val="clear" w:color="auto" w:fill="FFFFFF"/>
        </w:rPr>
        <w:t>al status</w:t>
      </w:r>
      <w:r w:rsidRPr="00F8365A">
        <w:rPr>
          <w:rFonts w:ascii="Times New Roman" w:eastAsia="Times New Roman" w:hAnsi="Times New Roman" w:cs="Times New Roman"/>
          <w:i/>
          <w:iCs/>
          <w:color w:val="212529"/>
          <w:sz w:val="22"/>
          <w:szCs w:val="22"/>
          <w:shd w:val="clear" w:color="auto" w:fill="FFFFFF"/>
        </w:rPr>
        <w:t>? A close examination of nutrition measures and methods from Bangladesh.</w:t>
      </w:r>
    </w:p>
    <w:p w14:paraId="3ADC73A0" w14:textId="77777777" w:rsidR="00BA76CD" w:rsidRPr="00F8365A" w:rsidRDefault="00BA76CD" w:rsidP="00F8365A">
      <w:pPr>
        <w:spacing w:line="276" w:lineRule="auto"/>
        <w:rPr>
          <w:rFonts w:ascii="Times New Roman" w:eastAsia="Times New Roman" w:hAnsi="Times New Roman" w:cs="Times New Roman"/>
          <w:color w:val="212529"/>
          <w:sz w:val="22"/>
          <w:szCs w:val="22"/>
          <w:shd w:val="clear" w:color="auto" w:fill="FFFFFF"/>
        </w:rPr>
      </w:pPr>
    </w:p>
    <w:p w14:paraId="48539DD1" w14:textId="63612F43"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R</w:t>
      </w:r>
      <w:r w:rsidRPr="008A5CE8">
        <w:rPr>
          <w:rFonts w:ascii="Times New Roman" w:eastAsia="Times New Roman" w:hAnsi="Times New Roman" w:cs="Times New Roman"/>
          <w:b/>
          <w:bCs/>
          <w:color w:val="212529"/>
          <w:sz w:val="22"/>
          <w:szCs w:val="22"/>
          <w:shd w:val="clear" w:color="auto" w:fill="FFFFFF"/>
        </w:rPr>
        <w:t>elevance of the topic</w:t>
      </w:r>
    </w:p>
    <w:p w14:paraId="69030F10" w14:textId="7C4775A8"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5AB302CF"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1C5945" w:rsidRPr="00F8365A">
        <w:rPr>
          <w:rFonts w:ascii="Times New Roman" w:eastAsia="Times New Roman" w:hAnsi="Times New Roman" w:cs="Times New Roman"/>
          <w:color w:val="212529"/>
          <w:sz w:val="22"/>
          <w:szCs w:val="22"/>
          <w:shd w:val="clear" w:color="auto" w:fill="FFFFFF"/>
        </w:rPr>
        <w:t>this claim has been reconsidered</w:t>
      </w:r>
      <w:r w:rsidR="00F62330" w:rsidRPr="00F8365A">
        <w:rPr>
          <w:rFonts w:ascii="Times New Roman" w:eastAsia="Times New Roman" w:hAnsi="Times New Roman" w:cs="Times New Roman"/>
          <w:color w:val="212529"/>
          <w:sz w:val="22"/>
          <w:szCs w:val="22"/>
          <w:shd w:val="clear" w:color="auto" w:fill="FFFFFF"/>
        </w:rPr>
        <w:t>, and more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1096F230" w14:textId="41DC140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The new studies that measure differences in nutritional status within households, which we refer to as nutritional discordance, 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6E29D8" w:rsidRPr="00F8365A">
        <w:rPr>
          <w:rFonts w:ascii="Times New Roman" w:eastAsia="Times New Roman" w:hAnsi="Times New Roman" w:cs="Times New Roman"/>
          <w:color w:val="212529"/>
          <w:sz w:val="22"/>
          <w:szCs w:val="22"/>
          <w:shd w:val="clear" w:color="auto" w:fill="FFFFFF"/>
        </w:rPr>
        <w:t xml:space="preserve">Researchers have to make a series of choices about how to measure discordance, and there is little-to-no consensus on current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banana in the US is different than banana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We </w:t>
      </w:r>
      <w:r w:rsidR="00747CCA" w:rsidRPr="00F8365A">
        <w:rPr>
          <w:rFonts w:ascii="Times New Roman" w:eastAsia="Times New Roman" w:hAnsi="Times New Roman" w:cs="Times New Roman"/>
          <w:color w:val="212529"/>
          <w:sz w:val="22"/>
          <w:szCs w:val="22"/>
          <w:shd w:val="clear" w:color="auto" w:fill="FFFFFF"/>
        </w:rPr>
        <w:t>intend to</w:t>
      </w:r>
      <w:r w:rsidR="00A5344D" w:rsidRPr="00F8365A">
        <w:rPr>
          <w:rFonts w:ascii="Times New Roman" w:eastAsia="Times New Roman" w:hAnsi="Times New Roman" w:cs="Times New Roman"/>
          <w:color w:val="212529"/>
          <w:sz w:val="22"/>
          <w:szCs w:val="22"/>
          <w:shd w:val="clear" w:color="auto" w:fill="FFFFFF"/>
        </w:rPr>
        <w:t xml:space="preserve"> disentangle how the choice of method and choice of nutritional measure impact findings for a single country: Bangladesh.</w:t>
      </w:r>
    </w:p>
    <w:p w14:paraId="75262FB2" w14:textId="77777777" w:rsidR="008A5CE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p>
    <w:p w14:paraId="4C240E75" w14:textId="6AB36256"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R</w:t>
      </w:r>
      <w:r w:rsidRPr="008A5CE8">
        <w:rPr>
          <w:rFonts w:ascii="Times New Roman" w:eastAsia="Times New Roman" w:hAnsi="Times New Roman" w:cs="Times New Roman"/>
          <w:b/>
          <w:bCs/>
          <w:color w:val="212529"/>
          <w:sz w:val="22"/>
          <w:szCs w:val="22"/>
          <w:shd w:val="clear" w:color="auto" w:fill="FFFFFF"/>
        </w:rPr>
        <w:t>esearch methodology</w:t>
      </w:r>
    </w:p>
    <w:p w14:paraId="19AE5464" w14:textId="32F9321A" w:rsidR="006B354A" w:rsidRPr="00975470" w:rsidRDefault="00307560"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w:t>
      </w:r>
      <w:r w:rsidR="008A5CE8" w:rsidRPr="00F8365A">
        <w:rPr>
          <w:rFonts w:ascii="Times New Roman" w:eastAsia="Times New Roman" w:hAnsi="Times New Roman" w:cs="Times New Roman"/>
          <w:color w:val="212529"/>
          <w:sz w:val="22"/>
          <w:szCs w:val="22"/>
          <w:shd w:val="clear" w:color="auto" w:fill="FFFFFF"/>
        </w:rPr>
        <w:t>he Bangladesh Integrated Household Survey (BIHS)</w:t>
      </w:r>
      <w:r w:rsidR="007F69C2" w:rsidRPr="00F8365A">
        <w:rPr>
          <w:rFonts w:ascii="Times New Roman" w:eastAsia="Times New Roman" w:hAnsi="Times New Roman" w:cs="Times New Roman"/>
          <w:color w:val="212529"/>
          <w:sz w:val="22"/>
          <w:szCs w:val="22"/>
          <w:shd w:val="clear" w:color="auto" w:fill="FFFFFF"/>
        </w:rPr>
        <w:t>. BIHS</w:t>
      </w:r>
      <w:r w:rsidR="008A5CE8" w:rsidRPr="00F8365A">
        <w:rPr>
          <w:rFonts w:ascii="Times New Roman" w:eastAsia="Times New Roman" w:hAnsi="Times New Roman" w:cs="Times New Roman"/>
          <w:color w:val="212529"/>
          <w:sz w:val="22"/>
          <w:szCs w:val="22"/>
          <w:shd w:val="clear" w:color="auto" w:fill="FFFFFF"/>
        </w:rPr>
        <w:t xml:space="preserve"> is a</w:t>
      </w:r>
      <w:r w:rsidR="007F69C2" w:rsidRPr="00F8365A">
        <w:rPr>
          <w:rFonts w:ascii="Times New Roman" w:eastAsia="Times New Roman" w:hAnsi="Times New Roman" w:cs="Times New Roman"/>
          <w:color w:val="212529"/>
          <w:sz w:val="22"/>
          <w:szCs w:val="22"/>
          <w:shd w:val="clear" w:color="auto" w:fill="FFFFFF"/>
        </w:rPr>
        <w:t xml:space="preserve"> rich,</w:t>
      </w:r>
      <w:r w:rsidR="008A5CE8" w:rsidRPr="00F8365A">
        <w:rPr>
          <w:rFonts w:ascii="Times New Roman" w:eastAsia="Times New Roman" w:hAnsi="Times New Roman" w:cs="Times New Roman"/>
          <w:color w:val="212529"/>
          <w:sz w:val="22"/>
          <w:szCs w:val="22"/>
          <w:shd w:val="clear" w:color="auto" w:fill="FFFFFF"/>
        </w:rPr>
        <w:t xml:space="preserve"> nationally representative survey collected in 2011-12</w:t>
      </w:r>
      <w:r w:rsidR="0090356B">
        <w:rPr>
          <w:rFonts w:ascii="Times New Roman" w:eastAsia="Times New Roman" w:hAnsi="Times New Roman" w:cs="Times New Roman"/>
          <w:color w:val="212529"/>
          <w:sz w:val="22"/>
          <w:szCs w:val="22"/>
          <w:shd w:val="clear" w:color="auto" w:fill="FFFFFF"/>
        </w:rPr>
        <w:t xml:space="preserve"> of over 21,000 in</w:t>
      </w:r>
      <w:r w:rsidR="00E118F0">
        <w:rPr>
          <w:rFonts w:ascii="Times New Roman" w:eastAsia="Times New Roman" w:hAnsi="Times New Roman" w:cs="Times New Roman"/>
          <w:color w:val="212529"/>
          <w:sz w:val="22"/>
          <w:szCs w:val="22"/>
          <w:shd w:val="clear" w:color="auto" w:fill="FFFFFF"/>
        </w:rPr>
        <w:t>di</w:t>
      </w:r>
      <w:r w:rsidR="0090356B">
        <w:rPr>
          <w:rFonts w:ascii="Times New Roman" w:eastAsia="Times New Roman" w:hAnsi="Times New Roman" w:cs="Times New Roman"/>
          <w:color w:val="212529"/>
          <w:sz w:val="22"/>
          <w:szCs w:val="22"/>
          <w:shd w:val="clear" w:color="auto" w:fill="FFFFFF"/>
        </w:rPr>
        <w:t>viduals across more than 5000 households</w:t>
      </w:r>
      <w:r w:rsidR="008A5CE8" w:rsidRPr="00F8365A">
        <w:rPr>
          <w:rFonts w:ascii="Times New Roman" w:eastAsia="Times New Roman" w:hAnsi="Times New Roman" w:cs="Times New Roman"/>
          <w:color w:val="212529"/>
          <w:sz w:val="22"/>
          <w:szCs w:val="22"/>
          <w:shd w:val="clear" w:color="auto" w:fill="FFFFFF"/>
        </w:rPr>
        <w:t xml:space="preserve">. </w:t>
      </w:r>
      <w:r w:rsidR="006B354A" w:rsidRPr="00181BF4">
        <w:rPr>
          <w:rFonts w:ascii="Times New Roman" w:eastAsia="Times New Roman" w:hAnsi="Times New Roman" w:cs="Times New Roman"/>
          <w:color w:val="212529"/>
          <w:sz w:val="22"/>
          <w:szCs w:val="22"/>
          <w:shd w:val="clear" w:color="auto" w:fill="FFFFFF"/>
        </w:rPr>
        <w:t xml:space="preserve">Researchers face multiple decisions points when computing nutritional discordance. Our comparisons across key </w:t>
      </w:r>
      <w:r w:rsidR="006B354A" w:rsidRPr="00975470">
        <w:rPr>
          <w:rFonts w:ascii="Times New Roman" w:eastAsia="Times New Roman" w:hAnsi="Times New Roman" w:cs="Times New Roman"/>
          <w:color w:val="212529"/>
          <w:sz w:val="22"/>
          <w:szCs w:val="22"/>
          <w:shd w:val="clear" w:color="auto" w:fill="FFFFFF"/>
        </w:rPr>
        <w:t>methodological decisions include:</w:t>
      </w:r>
    </w:p>
    <w:p w14:paraId="4FE8432A" w14:textId="72FF51CB" w:rsidR="006B354A" w:rsidRPr="00975470" w:rsidRDefault="006B354A" w:rsidP="00F8365A">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Nutritional measure</w:t>
      </w:r>
      <w:r w:rsidR="00582403" w:rsidRPr="00975470">
        <w:rPr>
          <w:color w:val="212529"/>
          <w:sz w:val="22"/>
          <w:szCs w:val="22"/>
          <w:shd w:val="clear" w:color="auto" w:fill="FFFFFF"/>
        </w:rPr>
        <w:t>s</w:t>
      </w:r>
      <w:r w:rsidRPr="00975470">
        <w:rPr>
          <w:color w:val="212529"/>
          <w:sz w:val="22"/>
          <w:szCs w:val="22"/>
          <w:shd w:val="clear" w:color="auto" w:fill="FFFFFF"/>
        </w:rPr>
        <w:t xml:space="preserve">: we will estimate discordance for both </w:t>
      </w:r>
      <w:r w:rsidR="0090356B" w:rsidRPr="00975470">
        <w:rPr>
          <w:color w:val="212529"/>
          <w:sz w:val="22"/>
          <w:szCs w:val="22"/>
          <w:shd w:val="clear" w:color="auto" w:fill="FFFFFF"/>
        </w:rPr>
        <w:t xml:space="preserve">calorie and </w:t>
      </w:r>
      <w:r w:rsidRPr="00975470">
        <w:rPr>
          <w:color w:val="212529"/>
          <w:sz w:val="22"/>
          <w:szCs w:val="22"/>
          <w:shd w:val="clear" w:color="auto" w:fill="FFFFFF"/>
        </w:rPr>
        <w:t xml:space="preserve">nutrient intake, using 24 hour </w:t>
      </w:r>
      <w:r w:rsidR="0090356B">
        <w:rPr>
          <w:color w:val="212529"/>
          <w:sz w:val="22"/>
          <w:szCs w:val="22"/>
          <w:shd w:val="clear" w:color="auto" w:fill="FFFFFF"/>
        </w:rPr>
        <w:t xml:space="preserve">individual </w:t>
      </w:r>
      <w:r w:rsidRPr="00975470">
        <w:rPr>
          <w:color w:val="212529"/>
          <w:sz w:val="22"/>
          <w:szCs w:val="22"/>
          <w:shd w:val="clear" w:color="auto" w:fill="FFFFFF"/>
        </w:rPr>
        <w:t>dietary recall data</w:t>
      </w:r>
      <w:r w:rsidR="007F69C2" w:rsidRPr="00975470">
        <w:rPr>
          <w:color w:val="212529"/>
          <w:sz w:val="22"/>
          <w:szCs w:val="22"/>
          <w:shd w:val="clear" w:color="auto" w:fill="FFFFFF"/>
        </w:rPr>
        <w:t>,</w:t>
      </w:r>
      <w:r w:rsidRPr="00975470">
        <w:rPr>
          <w:color w:val="212529"/>
          <w:sz w:val="22"/>
          <w:szCs w:val="22"/>
          <w:shd w:val="clear" w:color="auto" w:fill="FFFFFF"/>
        </w:rPr>
        <w:t xml:space="preserve"> </w:t>
      </w:r>
      <w:r w:rsidR="0090356B">
        <w:rPr>
          <w:color w:val="212529"/>
          <w:sz w:val="22"/>
          <w:szCs w:val="22"/>
          <w:shd w:val="clear" w:color="auto" w:fill="FFFFFF"/>
        </w:rPr>
        <w:t>h</w:t>
      </w:r>
      <w:r w:rsidR="00582403" w:rsidRPr="00975470">
        <w:rPr>
          <w:color w:val="212529"/>
          <w:sz w:val="22"/>
          <w:szCs w:val="22"/>
          <w:shd w:val="clear" w:color="auto" w:fill="FFFFFF"/>
        </w:rPr>
        <w:t xml:space="preserve">ousehold </w:t>
      </w:r>
      <w:r w:rsidR="0090356B">
        <w:rPr>
          <w:color w:val="212529"/>
          <w:sz w:val="22"/>
          <w:szCs w:val="22"/>
          <w:shd w:val="clear" w:color="auto" w:fill="FFFFFF"/>
        </w:rPr>
        <w:t xml:space="preserve">food expenditure data, Household </w:t>
      </w:r>
      <w:r w:rsidR="00582403" w:rsidRPr="00975470">
        <w:rPr>
          <w:color w:val="212529"/>
          <w:sz w:val="22"/>
          <w:szCs w:val="22"/>
          <w:shd w:val="clear" w:color="auto" w:fill="FFFFFF"/>
        </w:rPr>
        <w:t xml:space="preserve">Dietary Diversity </w:t>
      </w:r>
      <w:r w:rsidR="0090356B">
        <w:rPr>
          <w:color w:val="212529"/>
          <w:sz w:val="22"/>
          <w:szCs w:val="22"/>
          <w:shd w:val="clear" w:color="auto" w:fill="FFFFFF"/>
        </w:rPr>
        <w:t>Scores</w:t>
      </w:r>
      <w:r w:rsidR="00582403" w:rsidRPr="00975470">
        <w:rPr>
          <w:color w:val="212529"/>
          <w:sz w:val="22"/>
          <w:szCs w:val="22"/>
          <w:shd w:val="clear" w:color="auto" w:fill="FFFFFF"/>
        </w:rPr>
        <w:t xml:space="preserve">, </w:t>
      </w:r>
      <w:r w:rsidRPr="00975470">
        <w:rPr>
          <w:color w:val="212529"/>
          <w:sz w:val="22"/>
          <w:szCs w:val="22"/>
          <w:shd w:val="clear" w:color="auto" w:fill="FFFFFF"/>
        </w:rPr>
        <w:t>and body mass index</w:t>
      </w:r>
      <w:r w:rsidR="0090356B">
        <w:rPr>
          <w:color w:val="212529"/>
          <w:sz w:val="22"/>
          <w:szCs w:val="22"/>
          <w:shd w:val="clear" w:color="auto" w:fill="FFFFFF"/>
        </w:rPr>
        <w:t xml:space="preserve"> using anthropometric measurements</w:t>
      </w:r>
      <w:r w:rsidRPr="00975470">
        <w:rPr>
          <w:color w:val="212529"/>
          <w:sz w:val="22"/>
          <w:szCs w:val="22"/>
          <w:shd w:val="clear" w:color="auto" w:fill="FFFFFF"/>
        </w:rPr>
        <w:t>.</w:t>
      </w:r>
    </w:p>
    <w:p w14:paraId="2BC4BFDF" w14:textId="04B9C822" w:rsidR="003742B3" w:rsidRPr="00975470" w:rsidRDefault="006B354A" w:rsidP="00F8365A">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Approach</w:t>
      </w:r>
      <w:r w:rsidR="0090356B">
        <w:rPr>
          <w:color w:val="212529"/>
          <w:sz w:val="22"/>
          <w:szCs w:val="22"/>
          <w:shd w:val="clear" w:color="auto" w:fill="FFFFFF"/>
        </w:rPr>
        <w:t>es</w:t>
      </w:r>
      <w:r w:rsidRPr="00975470">
        <w:rPr>
          <w:color w:val="212529"/>
          <w:sz w:val="22"/>
          <w:szCs w:val="22"/>
          <w:shd w:val="clear" w:color="auto" w:fill="FFFFFF"/>
        </w:rPr>
        <w:t xml:space="preserve"> to computing nutrient intake: </w:t>
      </w:r>
      <w:r w:rsidR="0090356B">
        <w:rPr>
          <w:color w:val="212529"/>
          <w:sz w:val="22"/>
          <w:szCs w:val="22"/>
          <w:shd w:val="clear" w:color="auto" w:fill="FFFFFF"/>
        </w:rPr>
        <w:t xml:space="preserve">we will </w:t>
      </w:r>
      <w:r w:rsidR="00975470">
        <w:rPr>
          <w:color w:val="212529"/>
          <w:sz w:val="22"/>
          <w:szCs w:val="22"/>
          <w:shd w:val="clear" w:color="auto" w:fill="FFFFFF"/>
        </w:rPr>
        <w:t>compare several</w:t>
      </w:r>
      <w:r w:rsidR="0090356B">
        <w:rPr>
          <w:color w:val="212529"/>
          <w:sz w:val="22"/>
          <w:szCs w:val="22"/>
          <w:shd w:val="clear" w:color="auto" w:fill="FFFFFF"/>
        </w:rPr>
        <w:t xml:space="preserve"> assumptions used to </w:t>
      </w:r>
      <w:r w:rsidR="00E118F0">
        <w:rPr>
          <w:color w:val="212529"/>
          <w:sz w:val="22"/>
          <w:szCs w:val="22"/>
          <w:shd w:val="clear" w:color="auto" w:fill="FFFFFF"/>
        </w:rPr>
        <w:t xml:space="preserve">compute individual measures and to </w:t>
      </w:r>
      <w:r w:rsidR="0090356B">
        <w:rPr>
          <w:color w:val="212529"/>
          <w:sz w:val="22"/>
          <w:szCs w:val="22"/>
          <w:shd w:val="clear" w:color="auto" w:fill="FFFFFF"/>
        </w:rPr>
        <w:t xml:space="preserve">convert household level measures to individual </w:t>
      </w:r>
      <w:r w:rsidR="00E118F0">
        <w:rPr>
          <w:color w:val="212529"/>
          <w:sz w:val="22"/>
          <w:szCs w:val="22"/>
          <w:shd w:val="clear" w:color="auto" w:fill="FFFFFF"/>
        </w:rPr>
        <w:t>measures</w:t>
      </w:r>
      <w:r w:rsidR="00975470">
        <w:rPr>
          <w:color w:val="212529"/>
          <w:sz w:val="22"/>
          <w:szCs w:val="22"/>
          <w:shd w:val="clear" w:color="auto" w:fill="FFFFFF"/>
        </w:rPr>
        <w:t>:</w:t>
      </w:r>
    </w:p>
    <w:p w14:paraId="1C657D00" w14:textId="2B1D5FC2" w:rsidR="006B354A" w:rsidRPr="0090356B" w:rsidRDefault="0090356B" w:rsidP="00F8365A">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t>Per capita</w:t>
      </w:r>
      <w:r w:rsidR="00E118F0">
        <w:rPr>
          <w:color w:val="212529"/>
          <w:sz w:val="22"/>
          <w:szCs w:val="22"/>
          <w:shd w:val="clear" w:color="auto" w:fill="FFFFFF"/>
        </w:rPr>
        <w:t xml:space="preserve"> (PC), Adult Equivalent (AE), and </w:t>
      </w:r>
      <w:r w:rsidRPr="00975470">
        <w:rPr>
          <w:color w:val="212529"/>
          <w:sz w:val="22"/>
          <w:szCs w:val="22"/>
          <w:shd w:val="clear" w:color="auto" w:fill="FFFFFF"/>
        </w:rPr>
        <w:t>Adult Male Equivalent (AME)</w:t>
      </w:r>
      <w:r w:rsidR="00E118F0">
        <w:rPr>
          <w:color w:val="212529"/>
          <w:sz w:val="22"/>
          <w:szCs w:val="22"/>
          <w:shd w:val="clear" w:color="auto" w:fill="FFFFFF"/>
        </w:rPr>
        <w:t xml:space="preserve">: We look at the method of distributing calories or nutrients from household level to individuals. </w:t>
      </w:r>
    </w:p>
    <w:p w14:paraId="7C791B33" w14:textId="5AE91518" w:rsidR="006B354A" w:rsidRDefault="006B354A" w:rsidP="00F8365A">
      <w:pPr>
        <w:pStyle w:val="ListParagraph"/>
        <w:numPr>
          <w:ilvl w:val="1"/>
          <w:numId w:val="2"/>
        </w:numPr>
        <w:spacing w:line="276" w:lineRule="auto"/>
        <w:rPr>
          <w:color w:val="212529"/>
          <w:sz w:val="22"/>
          <w:szCs w:val="22"/>
          <w:shd w:val="clear" w:color="auto" w:fill="FFFFFF"/>
        </w:rPr>
      </w:pPr>
      <w:r w:rsidRPr="00975470">
        <w:rPr>
          <w:color w:val="212529"/>
          <w:sz w:val="22"/>
          <w:szCs w:val="22"/>
          <w:shd w:val="clear" w:color="auto" w:fill="FFFFFF"/>
        </w:rPr>
        <w:lastRenderedPageBreak/>
        <w:t>Food composition table</w:t>
      </w:r>
      <w:r w:rsidR="00DB632A">
        <w:rPr>
          <w:color w:val="212529"/>
          <w:sz w:val="22"/>
          <w:szCs w:val="22"/>
          <w:shd w:val="clear" w:color="auto" w:fill="FFFFFF"/>
        </w:rPr>
        <w:t>s</w:t>
      </w:r>
      <w:r w:rsidRPr="00975470">
        <w:rPr>
          <w:color w:val="212529"/>
          <w:sz w:val="22"/>
          <w:szCs w:val="22"/>
          <w:shd w:val="clear" w:color="auto" w:fill="FFFFFF"/>
        </w:rPr>
        <w:t xml:space="preserve">: We </w:t>
      </w:r>
      <w:r w:rsidR="00E118F0">
        <w:rPr>
          <w:color w:val="212529"/>
          <w:sz w:val="22"/>
          <w:szCs w:val="22"/>
          <w:shd w:val="clear" w:color="auto" w:fill="FFFFFF"/>
        </w:rPr>
        <w:t xml:space="preserve">examine </w:t>
      </w:r>
      <w:r w:rsidR="00975470">
        <w:rPr>
          <w:color w:val="212529"/>
          <w:sz w:val="22"/>
          <w:szCs w:val="22"/>
          <w:shd w:val="clear" w:color="auto" w:fill="FFFFFF"/>
        </w:rPr>
        <w:t xml:space="preserve">how </w:t>
      </w:r>
      <w:r w:rsidR="00E118F0">
        <w:rPr>
          <w:color w:val="212529"/>
          <w:sz w:val="22"/>
          <w:szCs w:val="22"/>
          <w:shd w:val="clear" w:color="auto" w:fill="FFFFFF"/>
        </w:rPr>
        <w:t>calorie and</w:t>
      </w:r>
      <w:r w:rsidRPr="00975470">
        <w:rPr>
          <w:color w:val="212529"/>
          <w:sz w:val="22"/>
          <w:szCs w:val="22"/>
          <w:shd w:val="clear" w:color="auto" w:fill="FFFFFF"/>
        </w:rPr>
        <w:t xml:space="preserve"> nutrient intake</w:t>
      </w:r>
      <w:r w:rsidR="00E118F0">
        <w:rPr>
          <w:color w:val="212529"/>
          <w:sz w:val="22"/>
          <w:szCs w:val="22"/>
          <w:shd w:val="clear" w:color="auto" w:fill="FFFFFF"/>
        </w:rPr>
        <w:t xml:space="preserve"> </w:t>
      </w:r>
      <w:r w:rsidR="00975470">
        <w:rPr>
          <w:color w:val="212529"/>
          <w:sz w:val="22"/>
          <w:szCs w:val="22"/>
          <w:shd w:val="clear" w:color="auto" w:fill="FFFFFF"/>
        </w:rPr>
        <w:t>vary by</w:t>
      </w:r>
      <w:r w:rsidR="00E118F0">
        <w:rPr>
          <w:color w:val="212529"/>
          <w:sz w:val="22"/>
          <w:szCs w:val="22"/>
          <w:shd w:val="clear" w:color="auto" w:fill="FFFFFF"/>
        </w:rPr>
        <w:t xml:space="preserve"> the choice of reference table</w:t>
      </w:r>
      <w:r w:rsidR="00DB632A">
        <w:rPr>
          <w:color w:val="212529"/>
          <w:sz w:val="22"/>
          <w:szCs w:val="22"/>
          <w:shd w:val="clear" w:color="auto" w:fill="FFFFFF"/>
        </w:rPr>
        <w:t xml:space="preserve"> to calculate calories and nutrients from food diaries</w:t>
      </w:r>
      <w:r w:rsidR="00E118F0">
        <w:rPr>
          <w:color w:val="212529"/>
          <w:sz w:val="22"/>
          <w:szCs w:val="22"/>
          <w:shd w:val="clear" w:color="auto" w:fill="FFFFFF"/>
        </w:rPr>
        <w:t>,</w:t>
      </w:r>
      <w:r w:rsidRPr="00975470">
        <w:rPr>
          <w:color w:val="212529"/>
          <w:sz w:val="22"/>
          <w:szCs w:val="22"/>
          <w:shd w:val="clear" w:color="auto" w:fill="FFFFFF"/>
        </w:rPr>
        <w:t xml:space="preserve"> using both the USDA</w:t>
      </w:r>
      <w:r w:rsidR="00975470">
        <w:rPr>
          <w:color w:val="212529"/>
          <w:sz w:val="22"/>
          <w:szCs w:val="22"/>
          <w:shd w:val="clear" w:color="auto" w:fill="FFFFFF"/>
        </w:rPr>
        <w:t xml:space="preserve"> and Indian</w:t>
      </w:r>
      <w:r w:rsidRPr="00975470">
        <w:rPr>
          <w:color w:val="212529"/>
          <w:sz w:val="22"/>
          <w:szCs w:val="22"/>
          <w:shd w:val="clear" w:color="auto" w:fill="FFFFFF"/>
        </w:rPr>
        <w:t xml:space="preserve"> reference tables</w:t>
      </w:r>
      <w:r w:rsidR="00975470">
        <w:rPr>
          <w:color w:val="212529"/>
          <w:sz w:val="22"/>
          <w:szCs w:val="22"/>
          <w:shd w:val="clear" w:color="auto" w:fill="FFFFFF"/>
        </w:rPr>
        <w:t xml:space="preserve"> (Bangladesh does not have its own reference tables)</w:t>
      </w:r>
      <w:r w:rsidRPr="00975470">
        <w:rPr>
          <w:color w:val="212529"/>
          <w:sz w:val="22"/>
          <w:szCs w:val="22"/>
          <w:shd w:val="clear" w:color="auto" w:fill="FFFFFF"/>
        </w:rPr>
        <w:t xml:space="preserve">. </w:t>
      </w:r>
    </w:p>
    <w:p w14:paraId="189A70A1" w14:textId="77777777" w:rsidR="00DB632A" w:rsidRDefault="00E118F0" w:rsidP="00E118F0">
      <w:pPr>
        <w:pStyle w:val="ListParagraph"/>
        <w:numPr>
          <w:ilvl w:val="0"/>
          <w:numId w:val="2"/>
        </w:numPr>
        <w:spacing w:line="276" w:lineRule="auto"/>
        <w:rPr>
          <w:color w:val="212529"/>
          <w:sz w:val="22"/>
          <w:szCs w:val="22"/>
          <w:shd w:val="clear" w:color="auto" w:fill="FFFFFF"/>
        </w:rPr>
      </w:pPr>
      <w:r>
        <w:rPr>
          <w:color w:val="212529"/>
          <w:sz w:val="22"/>
          <w:szCs w:val="22"/>
          <w:shd w:val="clear" w:color="auto" w:fill="FFFFFF"/>
        </w:rPr>
        <w:t xml:space="preserve">Calorie and Nutrient Benchmarks: </w:t>
      </w:r>
    </w:p>
    <w:p w14:paraId="6D7B2620" w14:textId="749DCD9C" w:rsidR="00E118F0" w:rsidRDefault="00DB632A" w:rsidP="00DB632A">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 xml:space="preserve">Methodology: We look at the source and methodology for benchmarks such as </w:t>
      </w:r>
      <w:r w:rsidR="00E118F0" w:rsidRPr="00DF0E7A">
        <w:rPr>
          <w:color w:val="212529"/>
          <w:sz w:val="22"/>
          <w:szCs w:val="22"/>
          <w:shd w:val="clear" w:color="auto" w:fill="FFFFFF"/>
        </w:rPr>
        <w:t>Estimated Average Requirement (EAR), Recommended Daily Allowance (RDA)</w:t>
      </w:r>
      <w:r w:rsidR="00E118F0">
        <w:rPr>
          <w:color w:val="212529"/>
          <w:sz w:val="22"/>
          <w:szCs w:val="22"/>
          <w:shd w:val="clear" w:color="auto" w:fill="FFFFFF"/>
        </w:rPr>
        <w:t>, and BMI tables.</w:t>
      </w:r>
    </w:p>
    <w:p w14:paraId="051AF3A4" w14:textId="4D7F6E69" w:rsidR="00DB632A" w:rsidRDefault="00DB632A" w:rsidP="00DB632A">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Geography: We</w:t>
      </w:r>
      <w:r w:rsidR="00335917">
        <w:rPr>
          <w:color w:val="212529"/>
          <w:sz w:val="22"/>
          <w:szCs w:val="22"/>
          <w:shd w:val="clear" w:color="auto" w:fill="FFFFFF"/>
        </w:rPr>
        <w:t xml:space="preserve"> consider</w:t>
      </w:r>
      <w:r>
        <w:rPr>
          <w:color w:val="212529"/>
          <w:sz w:val="22"/>
          <w:szCs w:val="22"/>
          <w:shd w:val="clear" w:color="auto" w:fill="FFFFFF"/>
        </w:rPr>
        <w:t xml:space="preserve"> </w:t>
      </w:r>
      <w:r w:rsidR="00335917">
        <w:rPr>
          <w:color w:val="212529"/>
          <w:sz w:val="22"/>
          <w:szCs w:val="22"/>
          <w:shd w:val="clear" w:color="auto" w:fill="FFFFFF"/>
        </w:rPr>
        <w:t>the importance of</w:t>
      </w:r>
      <w:r>
        <w:rPr>
          <w:color w:val="212529"/>
          <w:sz w:val="22"/>
          <w:szCs w:val="22"/>
          <w:shd w:val="clear" w:color="auto" w:fill="FFFFFF"/>
        </w:rPr>
        <w:t xml:space="preserve"> regional compared to international</w:t>
      </w:r>
      <w:r w:rsidR="00335917">
        <w:rPr>
          <w:color w:val="212529"/>
          <w:sz w:val="22"/>
          <w:szCs w:val="22"/>
          <w:shd w:val="clear" w:color="auto" w:fill="FFFFFF"/>
        </w:rPr>
        <w:t xml:space="preserve"> nutrient</w:t>
      </w:r>
      <w:r>
        <w:rPr>
          <w:color w:val="212529"/>
          <w:sz w:val="22"/>
          <w:szCs w:val="22"/>
          <w:shd w:val="clear" w:color="auto" w:fill="FFFFFF"/>
        </w:rPr>
        <w:t xml:space="preserve"> </w:t>
      </w:r>
      <w:r w:rsidR="00335917">
        <w:rPr>
          <w:color w:val="212529"/>
          <w:sz w:val="22"/>
          <w:szCs w:val="22"/>
          <w:shd w:val="clear" w:color="auto" w:fill="FFFFFF"/>
        </w:rPr>
        <w:t xml:space="preserve">benchmarks </w:t>
      </w:r>
      <w:r>
        <w:rPr>
          <w:color w:val="212529"/>
          <w:sz w:val="22"/>
          <w:szCs w:val="22"/>
          <w:shd w:val="clear" w:color="auto" w:fill="FFFFFF"/>
        </w:rPr>
        <w:t>using USDA, FAO, and Indian reference tables.</w:t>
      </w:r>
    </w:p>
    <w:p w14:paraId="5FFE4277" w14:textId="0CE7BF47" w:rsidR="00DB632A" w:rsidRPr="00A131FC" w:rsidRDefault="00335917">
      <w:pPr>
        <w:pStyle w:val="ListParagraph"/>
        <w:numPr>
          <w:ilvl w:val="1"/>
          <w:numId w:val="2"/>
        </w:numPr>
        <w:spacing w:line="276" w:lineRule="auto"/>
        <w:rPr>
          <w:color w:val="212529"/>
          <w:sz w:val="22"/>
          <w:szCs w:val="22"/>
          <w:shd w:val="clear" w:color="auto" w:fill="FFFFFF"/>
        </w:rPr>
      </w:pPr>
      <w:r>
        <w:rPr>
          <w:color w:val="212529"/>
          <w:sz w:val="22"/>
          <w:szCs w:val="22"/>
          <w:shd w:val="clear" w:color="auto" w:fill="FFFFFF"/>
        </w:rPr>
        <w:t>Parameters:</w:t>
      </w:r>
      <w:r w:rsidR="00DB632A" w:rsidRPr="00DF0E7A">
        <w:rPr>
          <w:color w:val="212529"/>
          <w:sz w:val="22"/>
          <w:szCs w:val="22"/>
          <w:shd w:val="clear" w:color="auto" w:fill="FFFFFF"/>
        </w:rPr>
        <w:t xml:space="preserve"> We </w:t>
      </w:r>
      <w:r>
        <w:rPr>
          <w:color w:val="212529"/>
          <w:sz w:val="22"/>
          <w:szCs w:val="22"/>
          <w:shd w:val="clear" w:color="auto" w:fill="FFFFFF"/>
        </w:rPr>
        <w:t>evaluate</w:t>
      </w:r>
      <w:r w:rsidR="00DB632A" w:rsidRPr="00DF0E7A">
        <w:rPr>
          <w:color w:val="212529"/>
          <w:sz w:val="22"/>
          <w:szCs w:val="22"/>
          <w:shd w:val="clear" w:color="auto" w:fill="FFFFFF"/>
        </w:rPr>
        <w:t xml:space="preserve"> the effects of </w:t>
      </w:r>
      <w:r w:rsidR="00DB632A">
        <w:rPr>
          <w:color w:val="212529"/>
          <w:sz w:val="22"/>
          <w:szCs w:val="22"/>
          <w:shd w:val="clear" w:color="auto" w:fill="FFFFFF"/>
        </w:rPr>
        <w:t xml:space="preserve">using age compared to age group, and including </w:t>
      </w:r>
      <w:r>
        <w:rPr>
          <w:color w:val="212529"/>
          <w:sz w:val="22"/>
          <w:szCs w:val="22"/>
          <w:shd w:val="clear" w:color="auto" w:fill="FFFFFF"/>
        </w:rPr>
        <w:t xml:space="preserve">activity level, </w:t>
      </w:r>
      <w:r w:rsidR="00DB632A">
        <w:rPr>
          <w:color w:val="212529"/>
          <w:sz w:val="22"/>
          <w:szCs w:val="22"/>
          <w:shd w:val="clear" w:color="auto" w:fill="FFFFFF"/>
        </w:rPr>
        <w:t>gender, height, weight, and pregnancy</w:t>
      </w:r>
      <w:r w:rsidR="0084670F">
        <w:rPr>
          <w:color w:val="212529"/>
          <w:sz w:val="22"/>
          <w:szCs w:val="22"/>
          <w:shd w:val="clear" w:color="auto" w:fill="FFFFFF"/>
        </w:rPr>
        <w:t xml:space="preserve"> or lactation</w:t>
      </w:r>
      <w:r w:rsidR="00DB632A">
        <w:rPr>
          <w:color w:val="212529"/>
          <w:sz w:val="22"/>
          <w:szCs w:val="22"/>
          <w:shd w:val="clear" w:color="auto" w:fill="FFFFFF"/>
        </w:rPr>
        <w:t xml:space="preserve"> status affect </w:t>
      </w:r>
      <w:r>
        <w:rPr>
          <w:color w:val="212529"/>
          <w:sz w:val="22"/>
          <w:szCs w:val="22"/>
          <w:shd w:val="clear" w:color="auto" w:fill="FFFFFF"/>
        </w:rPr>
        <w:t>frequency and level of nutritional discordance.</w:t>
      </w:r>
    </w:p>
    <w:p w14:paraId="774696BD" w14:textId="48F18590" w:rsidR="003742B3" w:rsidRPr="00975470" w:rsidRDefault="003742B3" w:rsidP="00F8365A">
      <w:pPr>
        <w:pStyle w:val="ListParagraph"/>
        <w:numPr>
          <w:ilvl w:val="0"/>
          <w:numId w:val="2"/>
        </w:numPr>
        <w:spacing w:line="276" w:lineRule="auto"/>
        <w:rPr>
          <w:color w:val="212529"/>
          <w:sz w:val="22"/>
          <w:szCs w:val="22"/>
          <w:shd w:val="clear" w:color="auto" w:fill="FFFFFF"/>
        </w:rPr>
      </w:pPr>
      <w:r w:rsidRPr="00975470">
        <w:rPr>
          <w:color w:val="212529"/>
          <w:sz w:val="22"/>
          <w:szCs w:val="22"/>
          <w:shd w:val="clear" w:color="auto" w:fill="FFFFFF"/>
        </w:rPr>
        <w:t xml:space="preserve">Multiple approaches to compute discordance: </w:t>
      </w:r>
      <w:r w:rsidR="00DB632A">
        <w:rPr>
          <w:color w:val="212529"/>
          <w:sz w:val="22"/>
          <w:szCs w:val="22"/>
          <w:shd w:val="clear" w:color="auto" w:fill="FFFFFF"/>
        </w:rPr>
        <w:t xml:space="preserve">We consider various methods of computing discordance, such as </w:t>
      </w:r>
      <w:r w:rsidRPr="00975470">
        <w:rPr>
          <w:color w:val="212529"/>
          <w:sz w:val="22"/>
          <w:szCs w:val="22"/>
          <w:shd w:val="clear" w:color="auto" w:fill="FFFFFF"/>
        </w:rPr>
        <w:t xml:space="preserve">Kuznets curves, log deviation of inequality, </w:t>
      </w:r>
      <w:r w:rsidR="00DB632A">
        <w:rPr>
          <w:color w:val="212529"/>
          <w:sz w:val="22"/>
          <w:szCs w:val="22"/>
          <w:shd w:val="clear" w:color="auto" w:fill="FFFFFF"/>
        </w:rPr>
        <w:t xml:space="preserve">and </w:t>
      </w:r>
      <w:r w:rsidRPr="00975470">
        <w:rPr>
          <w:color w:val="212529"/>
          <w:sz w:val="22"/>
          <w:szCs w:val="22"/>
          <w:shd w:val="clear" w:color="auto" w:fill="FFFFFF"/>
        </w:rPr>
        <w:t>differences in deviations from minimal required intakes.</w:t>
      </w:r>
    </w:p>
    <w:p w14:paraId="50E1734E" w14:textId="18628F26" w:rsidR="008A5CE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p>
    <w:p w14:paraId="181A67DE" w14:textId="2DB9097E" w:rsidR="00582403" w:rsidRPr="00F8365A" w:rsidRDefault="00C8508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We are now computing</w:t>
      </w:r>
      <w:r w:rsidR="003742B3" w:rsidRPr="00F8365A">
        <w:rPr>
          <w:rFonts w:ascii="Times New Roman" w:eastAsia="Times New Roman" w:hAnsi="Times New Roman" w:cs="Times New Roman"/>
          <w:color w:val="212529"/>
          <w:sz w:val="22"/>
          <w:szCs w:val="22"/>
          <w:shd w:val="clear" w:color="auto" w:fill="FFFFFF"/>
        </w:rPr>
        <w:t xml:space="preserve"> multiple nutritional measures</w:t>
      </w:r>
      <w:r>
        <w:rPr>
          <w:rFonts w:ascii="Times New Roman" w:eastAsia="Times New Roman" w:hAnsi="Times New Roman" w:cs="Times New Roman"/>
          <w:color w:val="212529"/>
          <w:sz w:val="22"/>
          <w:szCs w:val="22"/>
          <w:shd w:val="clear" w:color="auto" w:fill="FFFFFF"/>
        </w:rPr>
        <w:t>.</w:t>
      </w:r>
      <w:r w:rsidR="003742B3"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W</w:t>
      </w:r>
      <w:r w:rsidR="00582403" w:rsidRPr="00F8365A">
        <w:rPr>
          <w:rFonts w:ascii="Times New Roman" w:eastAsia="Times New Roman" w:hAnsi="Times New Roman" w:cs="Times New Roman"/>
          <w:color w:val="212529"/>
          <w:sz w:val="22"/>
          <w:szCs w:val="22"/>
          <w:shd w:val="clear" w:color="auto" w:fill="FFFFFF"/>
        </w:rPr>
        <w:t>e</w:t>
      </w:r>
      <w:r>
        <w:rPr>
          <w:rFonts w:ascii="Times New Roman" w:eastAsia="Times New Roman" w:hAnsi="Times New Roman" w:cs="Times New Roman"/>
          <w:color w:val="212529"/>
          <w:sz w:val="22"/>
          <w:szCs w:val="22"/>
          <w:shd w:val="clear" w:color="auto" w:fill="FFFFFF"/>
        </w:rPr>
        <w:t xml:space="preserve"> will</w:t>
      </w:r>
      <w:r w:rsidR="00582403" w:rsidRPr="00F8365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then</w:t>
      </w:r>
      <w:r w:rsidR="00582403" w:rsidRPr="00F8365A">
        <w:rPr>
          <w:rFonts w:ascii="Times New Roman" w:eastAsia="Times New Roman" w:hAnsi="Times New Roman" w:cs="Times New Roman"/>
          <w:color w:val="212529"/>
          <w:sz w:val="22"/>
          <w:szCs w:val="22"/>
          <w:shd w:val="clear" w:color="auto" w:fill="FFFFFF"/>
        </w:rPr>
        <w:t xml:space="preserve"> compute</w:t>
      </w:r>
      <w:r w:rsidR="003742B3" w:rsidRPr="00F8365A">
        <w:rPr>
          <w:rFonts w:ascii="Times New Roman" w:eastAsia="Times New Roman" w:hAnsi="Times New Roman" w:cs="Times New Roman"/>
          <w:color w:val="212529"/>
          <w:sz w:val="22"/>
          <w:szCs w:val="22"/>
          <w:shd w:val="clear" w:color="auto" w:fill="FFFFFF"/>
        </w:rPr>
        <w:t xml:space="preserve"> correlations across </w:t>
      </w:r>
      <w:r>
        <w:rPr>
          <w:rFonts w:ascii="Times New Roman" w:eastAsia="Times New Roman" w:hAnsi="Times New Roman" w:cs="Times New Roman"/>
          <w:color w:val="212529"/>
          <w:sz w:val="22"/>
          <w:szCs w:val="22"/>
          <w:shd w:val="clear" w:color="auto" w:fill="FFFFFF"/>
        </w:rPr>
        <w:t>the multiple</w:t>
      </w:r>
      <w:r w:rsidRPr="00F8365A">
        <w:rPr>
          <w:rFonts w:ascii="Times New Roman" w:eastAsia="Times New Roman" w:hAnsi="Times New Roman" w:cs="Times New Roman"/>
          <w:color w:val="212529"/>
          <w:sz w:val="22"/>
          <w:szCs w:val="22"/>
          <w:shd w:val="clear" w:color="auto" w:fill="FFFFFF"/>
        </w:rPr>
        <w:t xml:space="preserve"> </w:t>
      </w:r>
      <w:r w:rsidR="003742B3" w:rsidRPr="00F8365A">
        <w:rPr>
          <w:rFonts w:ascii="Times New Roman" w:eastAsia="Times New Roman" w:hAnsi="Times New Roman" w:cs="Times New Roman"/>
          <w:color w:val="212529"/>
          <w:sz w:val="22"/>
          <w:szCs w:val="22"/>
          <w:shd w:val="clear" w:color="auto" w:fill="FFFFFF"/>
        </w:rPr>
        <w:t xml:space="preserve">nutritional measures. We will test </w:t>
      </w:r>
      <w:r w:rsidR="00D40FF9" w:rsidRPr="00F8365A">
        <w:rPr>
          <w:rFonts w:ascii="Times New Roman" w:eastAsia="Times New Roman" w:hAnsi="Times New Roman" w:cs="Times New Roman"/>
          <w:color w:val="212529"/>
          <w:sz w:val="22"/>
          <w:szCs w:val="22"/>
          <w:shd w:val="clear" w:color="auto" w:fill="FFFFFF"/>
        </w:rPr>
        <w:t>the sensitivity of</w:t>
      </w:r>
      <w:r w:rsidR="00662E40">
        <w:rPr>
          <w:rFonts w:ascii="Times New Roman" w:eastAsia="Times New Roman" w:hAnsi="Times New Roman" w:cs="Times New Roman"/>
          <w:color w:val="212529"/>
          <w:sz w:val="22"/>
          <w:szCs w:val="22"/>
          <w:shd w:val="clear" w:color="auto" w:fill="FFFFFF"/>
        </w:rPr>
        <w:t xml:space="preserve"> the</w:t>
      </w:r>
      <w:r w:rsidR="00D40FF9" w:rsidRPr="00F8365A">
        <w:rPr>
          <w:rFonts w:ascii="Times New Roman" w:eastAsia="Times New Roman" w:hAnsi="Times New Roman" w:cs="Times New Roman"/>
          <w:color w:val="212529"/>
          <w:sz w:val="22"/>
          <w:szCs w:val="22"/>
          <w:shd w:val="clear" w:color="auto" w:fill="FFFFFF"/>
        </w:rPr>
        <w:t xml:space="preserve"> nutrient intake results to </w:t>
      </w:r>
      <w:r w:rsidR="00662E40">
        <w:rPr>
          <w:rFonts w:ascii="Times New Roman" w:eastAsia="Times New Roman" w:hAnsi="Times New Roman" w:cs="Times New Roman"/>
          <w:color w:val="212529"/>
          <w:sz w:val="22"/>
          <w:szCs w:val="22"/>
          <w:shd w:val="clear" w:color="auto" w:fill="FFFFFF"/>
        </w:rPr>
        <w:t xml:space="preserve">the various approaches and parameter choices. </w:t>
      </w:r>
      <w:r w:rsidR="000C7E28">
        <w:rPr>
          <w:rFonts w:ascii="Times New Roman" w:eastAsia="Times New Roman" w:hAnsi="Times New Roman" w:cs="Times New Roman"/>
          <w:color w:val="212529"/>
          <w:sz w:val="22"/>
          <w:szCs w:val="22"/>
          <w:shd w:val="clear" w:color="auto" w:fill="FFFFFF"/>
        </w:rPr>
        <w:t xml:space="preserve">By identifying relationships between measures, approaches, and parameters, we can make recommendations for </w:t>
      </w:r>
      <w:r w:rsidR="00545608">
        <w:rPr>
          <w:rFonts w:ascii="Times New Roman" w:eastAsia="Times New Roman" w:hAnsi="Times New Roman" w:cs="Times New Roman"/>
          <w:color w:val="212529"/>
          <w:sz w:val="22"/>
          <w:szCs w:val="22"/>
          <w:shd w:val="clear" w:color="auto" w:fill="FFFFFF"/>
        </w:rPr>
        <w:t>best practices for measuring nutritional inequality, given data and temporal limitations.</w:t>
      </w:r>
    </w:p>
    <w:p w14:paraId="1F083193" w14:textId="77777777" w:rsidR="00582403" w:rsidRPr="00F8365A" w:rsidRDefault="00582403" w:rsidP="00F8365A">
      <w:pPr>
        <w:spacing w:line="276" w:lineRule="auto"/>
        <w:rPr>
          <w:rFonts w:ascii="Times New Roman" w:eastAsia="Times New Roman" w:hAnsi="Times New Roman" w:cs="Times New Roman"/>
          <w:color w:val="212529"/>
          <w:sz w:val="22"/>
          <w:szCs w:val="22"/>
          <w:shd w:val="clear" w:color="auto" w:fill="FFFFFF"/>
        </w:rPr>
      </w:pPr>
    </w:p>
    <w:p w14:paraId="3F3962E1" w14:textId="77777777"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P</w:t>
      </w:r>
      <w:r w:rsidRPr="008A5CE8">
        <w:rPr>
          <w:rFonts w:ascii="Times New Roman" w:eastAsia="Times New Roman" w:hAnsi="Times New Roman" w:cs="Times New Roman"/>
          <w:b/>
          <w:bCs/>
          <w:color w:val="212529"/>
          <w:sz w:val="22"/>
          <w:szCs w:val="22"/>
          <w:shd w:val="clear" w:color="auto" w:fill="FFFFFF"/>
        </w:rPr>
        <w:t>reliminary results (if available)</w:t>
      </w:r>
    </w:p>
    <w:p w14:paraId="25354ECB" w14:textId="51D2A91B" w:rsidR="00BB4B7C" w:rsidRPr="00F8365A" w:rsidRDefault="00BB4B7C" w:rsidP="00F8365A">
      <w:pPr>
        <w:spacing w:line="276" w:lineRule="auto"/>
        <w:rPr>
          <w:rFonts w:ascii="Times New Roman" w:hAnsi="Times New Roman" w:cs="Times New Roman"/>
          <w:i/>
          <w:iCs/>
          <w:color w:val="212529"/>
          <w:sz w:val="22"/>
          <w:szCs w:val="22"/>
          <w:shd w:val="clear" w:color="auto" w:fill="FFFFFF"/>
        </w:rPr>
      </w:pPr>
      <w:r w:rsidRPr="00F8365A">
        <w:rPr>
          <w:rFonts w:ascii="Times New Roman" w:eastAsia="Times New Roman" w:hAnsi="Times New Roman" w:cs="Times New Roman"/>
          <w:i/>
          <w:iCs/>
          <w:color w:val="212529"/>
          <w:sz w:val="22"/>
          <w:szCs w:val="22"/>
          <w:shd w:val="clear" w:color="auto" w:fill="FFFFFF"/>
        </w:rPr>
        <w:t xml:space="preserve">Forthcoming. </w:t>
      </w:r>
    </w:p>
    <w:p w14:paraId="6AC3E871" w14:textId="77777777" w:rsidR="00570FB5" w:rsidRPr="00F8365A" w:rsidRDefault="00570FB5" w:rsidP="00F8365A">
      <w:pPr>
        <w:spacing w:line="276" w:lineRule="auto"/>
        <w:rPr>
          <w:rFonts w:ascii="Times New Roman" w:hAnsi="Times New Roman" w:cs="Times New Roman"/>
          <w:i/>
          <w:iCs/>
          <w:color w:val="212529"/>
          <w:sz w:val="22"/>
          <w:szCs w:val="22"/>
          <w:shd w:val="clear" w:color="auto" w:fill="FFFFFF"/>
        </w:rPr>
      </w:pPr>
    </w:p>
    <w:p w14:paraId="4348ECFF" w14:textId="2AE0C260"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P</w:t>
      </w:r>
      <w:r w:rsidRPr="008A5CE8">
        <w:rPr>
          <w:rFonts w:ascii="Times New Roman" w:eastAsia="Times New Roman" w:hAnsi="Times New Roman" w:cs="Times New Roman"/>
          <w:b/>
          <w:bCs/>
          <w:color w:val="212529"/>
          <w:sz w:val="22"/>
          <w:szCs w:val="22"/>
          <w:shd w:val="clear" w:color="auto" w:fill="FFFFFF"/>
        </w:rPr>
        <w:t>otential for generating discussion</w:t>
      </w:r>
    </w:p>
    <w:p w14:paraId="3C66F3BE" w14:textId="2EADEE7B"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B668E0" w:rsidRPr="00F8365A">
        <w:rPr>
          <w:rFonts w:ascii="Times New Roman" w:eastAsia="Times New Roman" w:hAnsi="Times New Roman" w:cs="Times New Roman"/>
          <w:color w:val="212529"/>
          <w:sz w:val="22"/>
          <w:szCs w:val="22"/>
          <w:shd w:val="clear" w:color="auto" w:fill="FFFFFF"/>
        </w:rPr>
        <w:t xml:space="preserve"> This can help us to determine when and where relying on unitary models of households is appropriate. Brown et al. (2017) argue there is “substantial intrahousehold inequality” in sub-Saharan Africa, where being an undernourished woman is poorly 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037898CA" w:rsidR="007C7062"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 xml:space="preserve">Similarly, an expanding interest on women’s empowerment (e.g., Pratley 2016)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448A3368" w14:textId="04E2F533" w:rsidR="00A463DC" w:rsidRDefault="00A463DC" w:rsidP="00F8365A">
      <w:pPr>
        <w:spacing w:line="276" w:lineRule="auto"/>
        <w:rPr>
          <w:rFonts w:ascii="Times New Roman" w:eastAsia="Times New Roman" w:hAnsi="Times New Roman" w:cs="Times New Roman"/>
          <w:color w:val="212529"/>
          <w:sz w:val="22"/>
          <w:szCs w:val="22"/>
          <w:shd w:val="clear" w:color="auto" w:fill="FFFFFF"/>
        </w:rPr>
      </w:pPr>
    </w:p>
    <w:p w14:paraId="11E565E5" w14:textId="719C666C" w:rsidR="00A463DC" w:rsidRDefault="00A463DC"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References</w:t>
      </w:r>
    </w:p>
    <w:p w14:paraId="4BFA9403" w14:textId="77777777" w:rsidR="00072C80" w:rsidRDefault="00072C80" w:rsidP="00072C80">
      <w:pPr>
        <w:pStyle w:val="NormalWeb"/>
        <w:ind w:left="480" w:hanging="480"/>
      </w:pPr>
      <w:r>
        <w:t xml:space="preserve">Behrman, J. R. (1988). Intrahousehold Allocation of Nutrients in Rural India : Are Boys Favored ? Do Parents Exhibit Inequality Aversion ? </w:t>
      </w:r>
      <w:r>
        <w:rPr>
          <w:i/>
          <w:iCs/>
        </w:rPr>
        <w:t>Oxford Economic Papers</w:t>
      </w:r>
      <w:r>
        <w:t xml:space="preserve">, </w:t>
      </w:r>
      <w:r>
        <w:rPr>
          <w:i/>
          <w:iCs/>
        </w:rPr>
        <w:t>40</w:t>
      </w:r>
      <w:r>
        <w:t>(1), 32–54.</w:t>
      </w:r>
    </w:p>
    <w:p w14:paraId="57F020A7" w14:textId="250E8EE4" w:rsidR="00A463DC" w:rsidRDefault="00A463DC" w:rsidP="00072C80">
      <w:pPr>
        <w:pStyle w:val="NormalWeb"/>
      </w:pPr>
      <w:r>
        <w:t xml:space="preserve">Brown, C., </w:t>
      </w:r>
      <w:proofErr w:type="spellStart"/>
      <w:r>
        <w:t>Calvi</w:t>
      </w:r>
      <w:proofErr w:type="spellEnd"/>
      <w:r>
        <w:t xml:space="preserve">, R., &amp; </w:t>
      </w:r>
      <w:proofErr w:type="spellStart"/>
      <w:r>
        <w:t>Penglase</w:t>
      </w:r>
      <w:proofErr w:type="spellEnd"/>
      <w:r>
        <w:t xml:space="preserve">, J. (2018). Sharing the Pie: Undernutrition, Intra-Household Allocation, and Poverty. </w:t>
      </w:r>
      <w:r>
        <w:rPr>
          <w:i/>
          <w:iCs/>
        </w:rPr>
        <w:t>SSRN Electronic Journal</w:t>
      </w:r>
      <w:r>
        <w:t xml:space="preserve">, 1–40. </w:t>
      </w:r>
      <w:hyperlink r:id="rId5" w:history="1">
        <w:r w:rsidR="00072C80" w:rsidRPr="000E7495">
          <w:rPr>
            <w:rStyle w:val="Hyperlink"/>
          </w:rPr>
          <w:t>https://doi.org/10.2139/ssrn.3199129</w:t>
        </w:r>
      </w:hyperlink>
    </w:p>
    <w:p w14:paraId="3A8C8EC1" w14:textId="24F73BA9" w:rsidR="00072C80" w:rsidRDefault="00072C80" w:rsidP="00072C80">
      <w:pPr>
        <w:pStyle w:val="NormalWeb"/>
        <w:ind w:left="480" w:hanging="480"/>
      </w:pPr>
      <w:r>
        <w:t xml:space="preserve">Coates, J., Rogers, B. L., </w:t>
      </w:r>
      <w:proofErr w:type="spellStart"/>
      <w:r>
        <w:t>Blau</w:t>
      </w:r>
      <w:proofErr w:type="spellEnd"/>
      <w:r>
        <w:t xml:space="preserve">, A., Lauer, J., &amp; </w:t>
      </w:r>
      <w:proofErr w:type="spellStart"/>
      <w:r>
        <w:t>Roba</w:t>
      </w:r>
      <w:proofErr w:type="spellEnd"/>
      <w:r>
        <w:t xml:space="preserve">, A. (2017). Filling a dietary data gap? Validation of the adult male equivalent method of estimating individual nutrient intakes from household-level data in Ethiopia and Bangladesh. </w:t>
      </w:r>
      <w:r>
        <w:rPr>
          <w:i/>
          <w:iCs/>
        </w:rPr>
        <w:t>Food Policy</w:t>
      </w:r>
      <w:r>
        <w:t xml:space="preserve">, </w:t>
      </w:r>
      <w:r>
        <w:rPr>
          <w:i/>
          <w:iCs/>
        </w:rPr>
        <w:t>72</w:t>
      </w:r>
      <w:r>
        <w:t>, 27–42. https://doi.org/10.1016/j.foodpol.2017.08.010</w:t>
      </w:r>
    </w:p>
    <w:p w14:paraId="6D1D7C3B" w14:textId="01D9BA64" w:rsidR="00072C80" w:rsidRDefault="00072C80" w:rsidP="00072C80">
      <w:pPr>
        <w:pStyle w:val="NormalWeb"/>
        <w:ind w:left="480" w:hanging="480"/>
      </w:pPr>
      <w:r>
        <w:t xml:space="preserve">Coates, J., Patenaude, B. N., Rogers, B. L., </w:t>
      </w:r>
      <w:proofErr w:type="spellStart"/>
      <w:r>
        <w:t>Roba</w:t>
      </w:r>
      <w:proofErr w:type="spellEnd"/>
      <w:r>
        <w:t xml:space="preserve">, A. C., </w:t>
      </w:r>
      <w:proofErr w:type="spellStart"/>
      <w:r>
        <w:t>Woldetensay</w:t>
      </w:r>
      <w:proofErr w:type="spellEnd"/>
      <w:r>
        <w:t xml:space="preserve">, Y. K., </w:t>
      </w:r>
      <w:proofErr w:type="spellStart"/>
      <w:r>
        <w:t>Tilahun</w:t>
      </w:r>
      <w:proofErr w:type="spellEnd"/>
      <w:r>
        <w:t xml:space="preserve">, A. F., &amp; Spielman, K. L. (2018). Intra-household nutrient inequity in rural Ethiopia. </w:t>
      </w:r>
      <w:r>
        <w:rPr>
          <w:i/>
          <w:iCs/>
        </w:rPr>
        <w:t>Food Policy</w:t>
      </w:r>
      <w:r>
        <w:t xml:space="preserve">, </w:t>
      </w:r>
      <w:r>
        <w:rPr>
          <w:i/>
          <w:iCs/>
        </w:rPr>
        <w:t>81</w:t>
      </w:r>
      <w:r>
        <w:t xml:space="preserve">, 82–94. </w:t>
      </w:r>
      <w:hyperlink r:id="rId6" w:history="1">
        <w:r w:rsidRPr="000E7495">
          <w:rPr>
            <w:rStyle w:val="Hyperlink"/>
          </w:rPr>
          <w:t>https://doi.org/10.1016/j.foodpol.2018.10.006</w:t>
        </w:r>
      </w:hyperlink>
      <w:bookmarkStart w:id="0" w:name="_GoBack"/>
      <w:bookmarkEnd w:id="0"/>
    </w:p>
    <w:p w14:paraId="29DE9F97" w14:textId="77777777" w:rsidR="00072C80" w:rsidRDefault="00072C80" w:rsidP="00072C80">
      <w:pPr>
        <w:pStyle w:val="NormalWeb"/>
        <w:ind w:left="480" w:hanging="480"/>
      </w:pPr>
      <w:r>
        <w:t xml:space="preserve">Haddad, L., </w:t>
      </w:r>
      <w:proofErr w:type="spellStart"/>
      <w:r>
        <w:t>Kanbur</w:t>
      </w:r>
      <w:proofErr w:type="spellEnd"/>
      <w:r>
        <w:t xml:space="preserve">, R., &amp; </w:t>
      </w:r>
      <w:proofErr w:type="spellStart"/>
      <w:r>
        <w:t>Bouis</w:t>
      </w:r>
      <w:proofErr w:type="spellEnd"/>
      <w:r>
        <w:t xml:space="preserve">, H. (1994). Intra-Household Inequality and Average Household Well-Being: Evidence on Calorie Intakes and Energy Expenditures from the Philippines. In </w:t>
      </w:r>
      <w:r>
        <w:rPr>
          <w:i/>
          <w:iCs/>
        </w:rPr>
        <w:t>Developments in Agricultural Economics</w:t>
      </w:r>
      <w:r>
        <w:t xml:space="preserve"> (Vol. 10, pp. 239–257). https://doi.org/10.1016/B978-0-444-81969-7.50020-0</w:t>
      </w:r>
    </w:p>
    <w:p w14:paraId="63F51F7B" w14:textId="0624B4E2" w:rsidR="00072C80" w:rsidRDefault="00072C80" w:rsidP="00072C80">
      <w:pPr>
        <w:pStyle w:val="NormalWeb"/>
        <w:ind w:left="480" w:hanging="480"/>
      </w:pPr>
      <w:r>
        <w:t>D’</w:t>
      </w:r>
      <w:r>
        <w:t>S</w:t>
      </w:r>
      <w:r>
        <w:t xml:space="preserve">ouza, A., &amp; Tandon, S. (2019). Intrahousehold nutritional inequities in rural Bangladesh. </w:t>
      </w:r>
      <w:r>
        <w:rPr>
          <w:i/>
          <w:iCs/>
        </w:rPr>
        <w:t>Economic Development and Cultural Change</w:t>
      </w:r>
      <w:r>
        <w:t xml:space="preserve">, </w:t>
      </w:r>
      <w:r>
        <w:rPr>
          <w:i/>
          <w:iCs/>
        </w:rPr>
        <w:t>67</w:t>
      </w:r>
      <w:r>
        <w:t xml:space="preserve">(3), 625–657. </w:t>
      </w:r>
      <w:hyperlink r:id="rId7" w:history="1">
        <w:r w:rsidRPr="000E7495">
          <w:rPr>
            <w:rStyle w:val="Hyperlink"/>
          </w:rPr>
          <w:t>https://doi.org/10.1086/698311</w:t>
        </w:r>
      </w:hyperlink>
    </w:p>
    <w:p w14:paraId="12532616" w14:textId="3115F788" w:rsidR="00072C80" w:rsidRDefault="00072C80" w:rsidP="00072C80">
      <w:pPr>
        <w:pStyle w:val="NormalWeb"/>
        <w:ind w:left="480" w:hanging="480"/>
      </w:pPr>
      <w:r>
        <w:t xml:space="preserve">Pitt, M. M., Rosenzweig, M. R., &amp; Nazmul Hassan, M. (1990). Productivity , Health , and Inequality in the Intrahousehold Distribution of Food in Low- Income Countries. </w:t>
      </w:r>
      <w:r>
        <w:rPr>
          <w:i/>
          <w:iCs/>
        </w:rPr>
        <w:t>The American Economic Review,</w:t>
      </w:r>
      <w:r>
        <w:t xml:space="preserve"> </w:t>
      </w:r>
      <w:r>
        <w:rPr>
          <w:i/>
          <w:iCs/>
        </w:rPr>
        <w:t>80</w:t>
      </w:r>
      <w:r>
        <w:t>(5), 1139–1156.</w:t>
      </w:r>
    </w:p>
    <w:p w14:paraId="43002BEF" w14:textId="77777777" w:rsidR="00072C80" w:rsidRDefault="00072C80" w:rsidP="00072C80">
      <w:pPr>
        <w:pStyle w:val="NormalWeb"/>
        <w:ind w:left="480" w:hanging="480"/>
      </w:pPr>
      <w:proofErr w:type="spellStart"/>
      <w:r>
        <w:t>Sununtnasuk</w:t>
      </w:r>
      <w:proofErr w:type="spellEnd"/>
      <w:r>
        <w:t xml:space="preserve">, C., &amp; Fiedler, J. L. (2017). Can household-based food consumption surveys be used to make inferences about nutrient intakes and inadequacies? A Bangladesh case study. </w:t>
      </w:r>
      <w:r>
        <w:rPr>
          <w:i/>
          <w:iCs/>
        </w:rPr>
        <w:t>Food Policy</w:t>
      </w:r>
      <w:r>
        <w:t xml:space="preserve">, </w:t>
      </w:r>
      <w:r>
        <w:rPr>
          <w:i/>
          <w:iCs/>
        </w:rPr>
        <w:t>72</w:t>
      </w:r>
      <w:r>
        <w:t>, 121–131. https://doi.org/10.1016/j.foodpol.2017.08.018</w:t>
      </w:r>
    </w:p>
    <w:p w14:paraId="1B9F6812" w14:textId="77777777" w:rsidR="00072C80" w:rsidRDefault="00072C80" w:rsidP="00072C80">
      <w:pPr>
        <w:pStyle w:val="NormalWeb"/>
        <w:ind w:left="480" w:hanging="480"/>
      </w:pPr>
    </w:p>
    <w:p w14:paraId="1812351D" w14:textId="77777777" w:rsidR="00A463DC" w:rsidRPr="00F8365A" w:rsidRDefault="00A463DC" w:rsidP="00F8365A">
      <w:pPr>
        <w:spacing w:line="276" w:lineRule="auto"/>
        <w:rPr>
          <w:rFonts w:ascii="Times New Roman" w:hAnsi="Times New Roman" w:cs="Times New Roman"/>
          <w:sz w:val="22"/>
          <w:szCs w:val="22"/>
        </w:rPr>
      </w:pPr>
    </w:p>
    <w:sectPr w:rsidR="00A463DC" w:rsidRPr="00F8365A" w:rsidSect="003D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72C80"/>
    <w:rsid w:val="000C7E28"/>
    <w:rsid w:val="0017366A"/>
    <w:rsid w:val="0017545A"/>
    <w:rsid w:val="00181BF4"/>
    <w:rsid w:val="001C5945"/>
    <w:rsid w:val="001E4078"/>
    <w:rsid w:val="0026441A"/>
    <w:rsid w:val="002968F6"/>
    <w:rsid w:val="00307560"/>
    <w:rsid w:val="00335917"/>
    <w:rsid w:val="00345C13"/>
    <w:rsid w:val="003463DA"/>
    <w:rsid w:val="003675B5"/>
    <w:rsid w:val="003742B3"/>
    <w:rsid w:val="003D49A7"/>
    <w:rsid w:val="003D4F24"/>
    <w:rsid w:val="004E4BDB"/>
    <w:rsid w:val="00545608"/>
    <w:rsid w:val="00570FB5"/>
    <w:rsid w:val="00582403"/>
    <w:rsid w:val="005A2813"/>
    <w:rsid w:val="00662E40"/>
    <w:rsid w:val="006809EB"/>
    <w:rsid w:val="006A52AC"/>
    <w:rsid w:val="006B354A"/>
    <w:rsid w:val="006E29D8"/>
    <w:rsid w:val="006F72CF"/>
    <w:rsid w:val="007008F4"/>
    <w:rsid w:val="00747CCA"/>
    <w:rsid w:val="007F69C2"/>
    <w:rsid w:val="00807772"/>
    <w:rsid w:val="008215F0"/>
    <w:rsid w:val="0084670F"/>
    <w:rsid w:val="0085115C"/>
    <w:rsid w:val="008A5CE8"/>
    <w:rsid w:val="008C634F"/>
    <w:rsid w:val="00902021"/>
    <w:rsid w:val="0090356B"/>
    <w:rsid w:val="00952284"/>
    <w:rsid w:val="009736E5"/>
    <w:rsid w:val="009740A1"/>
    <w:rsid w:val="00975470"/>
    <w:rsid w:val="009D2FAC"/>
    <w:rsid w:val="00A131FC"/>
    <w:rsid w:val="00A463DC"/>
    <w:rsid w:val="00A50849"/>
    <w:rsid w:val="00A5344D"/>
    <w:rsid w:val="00B668E0"/>
    <w:rsid w:val="00BA76CD"/>
    <w:rsid w:val="00BB4B7C"/>
    <w:rsid w:val="00BC25BC"/>
    <w:rsid w:val="00C03077"/>
    <w:rsid w:val="00C1671F"/>
    <w:rsid w:val="00C4152A"/>
    <w:rsid w:val="00C85083"/>
    <w:rsid w:val="00D40780"/>
    <w:rsid w:val="00D40FF9"/>
    <w:rsid w:val="00D754D6"/>
    <w:rsid w:val="00DB632A"/>
    <w:rsid w:val="00E109AA"/>
    <w:rsid w:val="00E118F0"/>
    <w:rsid w:val="00E80ECA"/>
    <w:rsid w:val="00EC0F0F"/>
    <w:rsid w:val="00F62330"/>
    <w:rsid w:val="00F63C6B"/>
    <w:rsid w:val="00F8365A"/>
    <w:rsid w:val="00FE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6/698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foodpol.2018.10.006" TargetMode="External"/><Relationship Id="rId5" Type="http://schemas.openxmlformats.org/officeDocument/2006/relationships/hyperlink" Target="https://doi.org/10.2139/ssrn.31991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3</cp:revision>
  <dcterms:created xsi:type="dcterms:W3CDTF">2020-01-13T20:20:00Z</dcterms:created>
  <dcterms:modified xsi:type="dcterms:W3CDTF">2020-01-13T21:12:00Z</dcterms:modified>
</cp:coreProperties>
</file>