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Output Framework — 统一产出结构参考（16:9 幻灯片 deck：封面 → 关系图 → 叙事弧 → onepage 演示页 → 补充信息页 → 数据 reference list）</w:t>
      </w:r>
    </w:p>
    <w:p>
      <w:r>
        <w:t>本文件是渲染轮的结构参考：列出统一产出结构（16:9 幻灯片 deck）的固定六张 slide 章节序列、navigation 要求与可用组件名称速查。它不含指令——具体的渲染指令与硬约束见 system_prompt 的渲染轮与 Behavior Rules。组件代码（CSS / JS，含 deck 容器与 navigation）与色值定义不在本文件重复，分别见 reference_library 的「Component Vocabulary」章节 与 reference_library 的「Design Tokens」章节；反漂移与出稿核对见 reference_library 的「Constraints &amp; Checks」章节。</w:t>
      </w:r>
    </w:p>
    <w:p>
      <w:r>
        <w:t>当前任务采用统一产出结构：渲染轮始终产出一份**可横向翻页的 16:9 幻灯片 deck**（一个 .deck 容器 + 固定六张 .slide + navigation），而非长文档裁屏或单页 dashboard。六张 slide 依次为：① 封面（cover）② 关系图（S3 结构层级图）③ 叙事弧（S4 叙事弧）④ onepage 演示页（高密度、多板块综合演示，单屏 16:9、不留白、无内部滚动）⑤ 补充信息页（Supplementary Information，穷尽兜底）⑥ 数据 reference list。全部文字一律英文。</w:t>
      </w:r>
    </w:p>
    <w:p>
      <w:pPr>
        <w:pStyle w:val="Heading1"/>
      </w:pPr>
      <w:r>
        <w:t>统一产出结构（固定六张 slide + navigation）</w:t>
      </w:r>
    </w:p>
    <w:p>
      <w:r>
        <w:t>Navigation 要求：deck 支持横向翻页——键盘左右方向键（ArrowLeft / ArrowRight）翻页、屏角「上一页 / 下一页」按钮、底部页码计数与顶部进度条；body{overflow:hidden} 锁定单屏，每张 slide 为居中的 16:9 舞台（deck 深色背景形成 letterbox）。deck 容器 / slide / deck-nav / deck-progress 的逐字模板见 reference_library 的「Component Vocabulary」章节。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顺序</w:t>
            </w:r>
          </w:p>
        </w:tc>
        <w:tc>
          <w:tcPr>
            <w:tcW w:type="dxa" w:w="2880"/>
          </w:tcPr>
          <w:p>
            <w:r>
              <w:t>章节（slide）</w:t>
            </w:r>
          </w:p>
        </w:tc>
        <w:tc>
          <w:tcPr>
            <w:tcW w:type="dxa" w:w="2880"/>
          </w:tcPr>
          <w:p>
            <w:r>
              <w:t>要点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封面 Cover slide</w:t>
            </w:r>
          </w:p>
        </w:tc>
        <w:tc>
          <w:tcPr>
            <w:tcW w:type="dxa" w:w="2880"/>
          </w:tcPr>
          <w:p>
            <w:r>
              <w:t>项目标题、目标主体、生成时间戳、一句话定位。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关系图 Relationship Map slide</w:t>
            </w:r>
          </w:p>
        </w:tc>
        <w:tc>
          <w:tcPr>
            <w:tcW w:type="dxa" w:w="2880"/>
          </w:tcPr>
          <w:p>
            <w:r>
              <w:t>置入分析轮 S3 产出的 mermaid 结构层级图（呈现各主体与证据类型的从属/并列、以及收敛/矛盾脉络，各自标注 [N]）。该图须填满整张 16:9 slide（mermaid useMaxWidth:false，SVG width/height:100%、max-width:none），不得渲染成居中小图。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叙事弧 Narrative Arc slide</w:t>
            </w:r>
          </w:p>
        </w:tc>
        <w:tc>
          <w:tcPr>
            <w:tcW w:type="dxa" w:w="2880"/>
          </w:tcPr>
          <w:p>
            <w:r>
              <w:t>置入分析轮 S4 产出的 mermaid 叙事弧图（故事走向：起点 → 转折/矛盾 → 收束）。该图同样须填满整张 16:9 slide（mermaid useMaxWidth:false，SVG width/height:100%、max-width:none），不得渲染成居中小图；与关系图分工（结构图讲演员关系，本页讲剧情走向），独立成页。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onepage 演示页 Onepage slide</w:t>
            </w:r>
          </w:p>
        </w:tc>
        <w:tc>
          <w:tcPr>
            <w:tcW w:type="dxa" w:w="2880"/>
          </w:tcPr>
          <w:p>
            <w:r>
              <w:t>演示用文稿：由 S4 叙事主轴框定讲述逻辑、单屏 16:9、不留白、无内部滚动，并以高密度多板块综合演示**承载提取轮的精确数字**（数值 + 单位，不四舍五入）。板块按 S4 节拍排列：概述 → 主题/信号覆盖 → 核心定量亮点 → 主体对比 → 矛盾点 → 红黄绿风险 → 紧凑数据快照 → 商业洞察。区块结构见下文。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补充信息页 Supplementary Information slide</w:t>
            </w:r>
          </w:p>
        </w:tc>
        <w:tc>
          <w:tcPr>
            <w:tcW w:type="dxa" w:w="2880"/>
          </w:tcPr>
          <w:p>
            <w:r>
              <w:t>承接穷尽规则：凡未在 onepage 演示页展开的全量信息（完整 Extracted Data Registry / 各页定量明细）在此以 data-registry 表穷尽呈现；内容超出单屏时该 slide 内部纵向滚动（overflow-y:auto），不破屏、不加页、不丢记录。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数据 reference list References slide</w:t>
            </w:r>
          </w:p>
        </w:tc>
        <w:tc>
          <w:tcPr>
            <w:tcW w:type="dxa" w:w="2880"/>
          </w:tcPr>
          <w:p>
            <w:r>
              <w:t>全量引用溯源清单（#N → 源文件 / 类型 / 源页 / 关键术语），供下游核对。</w:t>
            </w:r>
          </w:p>
        </w:tc>
      </w:tr>
    </w:tbl>
    <w:p>
      <w:pPr>
        <w:pStyle w:val="Heading1"/>
      </w:pPr>
      <w:r>
        <w:t>onepage 演示页（统一结构的第三张 slide）</w:t>
      </w:r>
    </w:p>
    <w:p>
      <w:pPr>
        <w:pStyle w:val="Heading2"/>
      </w:pPr>
      <w:r>
        <w:t>页面定义</w:t>
      </w:r>
    </w:p>
    <w:p>
      <w:r>
        <w:t>单屏 16:9 的演示 slide（.slide.onepage）。它是**演示用文稿**——由 S4 叙事主轴与故事节拍框定讲述逻辑（"用数据讲出的项目故事"），**以极致信息密度排布在单张 16:9 slide 上**并**承载提取轮的精确数字（数值 + 单位，不四舍五入概括）**：**不留白、不出现内部滚动条，所有板块须在单屏内完整呈现**。onepage 顶部为固定头部（标题 / 项目编号，可放紧凑 status-summary），主体区以高密度栅格（card-grid / density-grid / vs-row 多列）+ 紧凑字号（clamp 小字号）+ 极小间距排布下列全部板块；只有真正无法纳入单屏的逐条全量记录才下沉到第四张「补充信息页」。每板块用 slide-label 作小节标题。</w:t>
      </w:r>
    </w:p>
    <w:p>
      <w:pPr>
        <w:pStyle w:val="Heading2"/>
      </w:pPr>
      <w:r>
        <w:t>区块结构（高密度多板块）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板块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项目主体概述（overview-card）</w:t>
            </w:r>
          </w:p>
        </w:tc>
        <w:tc>
          <w:tcPr>
            <w:tcW w:type="dxa" w:w="2880"/>
          </w:tcPr>
          <w:p>
            <w:r>
              <w:t>必须（0）</w:t>
            </w:r>
          </w:p>
        </w:tc>
        <w:tc>
          <w:tcPr>
            <w:tcW w:type="dxa" w:w="2880"/>
          </w:tcPr>
          <w:p>
            <w:r>
              <w:t>顶部通栏、紧凑：以 S4 叙事主轴（thesis 句）作为 one-liner 一句话短述 + 简要概览（目标主体 / 类型覆盖 CLINICAL·FE·CE / 关键结论走向）。</w:t>
            </w:r>
          </w:p>
        </w:tc>
      </w:tr>
      <w:tr>
        <w:tc>
          <w:tcPr>
            <w:tcW w:type="dxa" w:w="2880"/>
          </w:tcPr>
          <w:p>
            <w:r>
              <w:t>主题 / 信号覆盖（card-grid / bullet-list）</w:t>
            </w:r>
          </w:p>
        </w:tc>
        <w:tc>
          <w:tcPr>
            <w:tcW w:type="dxa" w:w="2880"/>
          </w:tcPr>
          <w:p>
            <w:r>
              <w:t>（1）</w:t>
            </w:r>
          </w:p>
        </w:tc>
        <w:tc>
          <w:tcPr>
            <w:tcW w:type="dxa" w:w="2880"/>
          </w:tcPr>
          <w:p>
            <w:r>
              <w:t>列出本次覆盖的 CLINICAL / FE / CE 主题分块及其各自结论走向（附 [N]），一眼掌握维度与议题范围。</w:t>
            </w:r>
          </w:p>
        </w:tc>
      </w:tr>
      <w:tr>
        <w:tc>
          <w:tcPr>
            <w:tcW w:type="dxa" w:w="2880"/>
          </w:tcPr>
          <w:p>
            <w:r>
              <w:t>核心定量亮点（card-grid / density-grid）</w:t>
            </w:r>
          </w:p>
        </w:tc>
        <w:tc>
          <w:tcPr>
            <w:tcW w:type="dxa" w:w="2880"/>
          </w:tcPr>
          <w:p>
            <w:r>
              <w:t>（2）</w:t>
            </w:r>
          </w:p>
        </w:tc>
        <w:tc>
          <w:tcPr>
            <w:tcW w:type="dxa" w:w="2880"/>
          </w:tcPr>
          <w:p>
            <w:r>
              <w:t>精选但承载**精确数值**的功效 / 感官 / 消费者指标（精确值 + 单位 + 状态色 status-badge），各附 [N]；不四舍五入、不概括，尽量多塞高信号精确数字。</w:t>
            </w:r>
          </w:p>
        </w:tc>
      </w:tr>
      <w:tr>
        <w:tc>
          <w:tcPr>
            <w:tcW w:type="dxa" w:w="2880"/>
          </w:tcPr>
          <w:p>
            <w:r>
              <w:t>主体对比（vs-row / vs-col）</w:t>
            </w:r>
          </w:p>
        </w:tc>
        <w:tc>
          <w:tcPr>
            <w:tcW w:type="dxa" w:w="2880"/>
          </w:tcPr>
          <w:p>
            <w:r>
              <w:t>（3）</w:t>
            </w:r>
          </w:p>
        </w:tc>
        <w:tc>
          <w:tcPr>
            <w:tcW w:type="dxa" w:w="2880"/>
          </w:tcPr>
          <w:p>
            <w:r>
              <w:t>目标主体 vs 对照主体的关键指标并排对比，直观显示优劣（各附 [N]）。</w:t>
            </w:r>
          </w:p>
        </w:tc>
      </w:tr>
      <w:tr>
        <w:tc>
          <w:tcPr>
            <w:tcW w:type="dxa" w:w="2880"/>
          </w:tcPr>
          <w:p>
            <w:r>
              <w:t>矛盾点（contradiction-block）</w:t>
            </w:r>
          </w:p>
        </w:tc>
        <w:tc>
          <w:tcPr>
            <w:tcW w:type="dxa" w:w="2880"/>
          </w:tcPr>
          <w:p>
            <w:r>
              <w:t>（4）</w:t>
            </w:r>
          </w:p>
        </w:tc>
        <w:tc>
          <w:tcPr>
            <w:tcW w:type="dxa" w:w="2880"/>
          </w:tcPr>
          <w:p>
            <w:r>
              <w:t>并列同一主体下相互冲突的 CLINICAL / FE / CE 证据（各附 [N]），后接成因 ai-insight。</w:t>
            </w:r>
          </w:p>
        </w:tc>
      </w:tr>
      <w:tr>
        <w:tc>
          <w:tcPr>
            <w:tcW w:type="dxa" w:w="2880"/>
          </w:tcPr>
          <w:p>
            <w:r>
              <w:t>红黄绿风险等级（status-summary）</w:t>
            </w:r>
          </w:p>
        </w:tc>
        <w:tc>
          <w:tcPr>
            <w:tcW w:type="dxa" w:w="2880"/>
          </w:tcPr>
          <w:p>
            <w:r>
              <w:t>（5）</w:t>
            </w:r>
          </w:p>
        </w:tc>
        <w:tc>
          <w:tcPr>
            <w:tcW w:type="dxa" w:w="2880"/>
          </w:tcPr>
          <w:p>
            <w:r>
              <w:t>整体评级 + 各 type 徽章（status-badge green/yellow/red/neutral），突出 worst-of-N；多主体各自一组，不合并。</w:t>
            </w:r>
          </w:p>
        </w:tc>
      </w:tr>
      <w:tr>
        <w:tc>
          <w:tcPr>
            <w:tcW w:type="dxa" w:w="2880"/>
          </w:tcPr>
          <w:p>
            <w:r>
              <w:t>紧凑数据快照（data-table）</w:t>
            </w:r>
          </w:p>
        </w:tc>
        <w:tc>
          <w:tcPr>
            <w:tcW w:type="dxa" w:w="2880"/>
          </w:tcPr>
          <w:p>
            <w:r>
              <w:t>（6）</w:t>
            </w:r>
          </w:p>
        </w:tc>
        <w:tc>
          <w:tcPr>
            <w:tcW w:type="dxa" w:w="2880"/>
          </w:tcPr>
          <w:p>
            <w:r>
              <w:t>一张紧凑核心记录表（所属主体 / 指标 / **精确值** / 状态 / [N]），保留精确数字、不概括；遴选代表性行，比纯叙述承载更多原始数据。</w:t>
            </w:r>
          </w:p>
        </w:tc>
      </w:tr>
      <w:tr>
        <w:tc>
          <w:tcPr>
            <w:tcW w:type="dxa" w:w="2880"/>
          </w:tcPr>
          <w:p>
            <w:r>
              <w:t>商业洞察（ai-insight）</w:t>
            </w:r>
          </w:p>
        </w:tc>
        <w:tc>
          <w:tcPr>
            <w:tcW w:type="dxa" w:w="2880"/>
          </w:tcPr>
          <w:p>
            <w:r>
              <w:t>（7）</w:t>
            </w:r>
          </w:p>
        </w:tc>
        <w:tc>
          <w:tcPr>
            <w:tcW w:type="dxa" w:w="2880"/>
          </w:tcPr>
          <w:p>
            <w:r>
              <w:t>基于 AI 全局视角的综合判断与决策含义（青色 ai-insight）；AI 原创解读，与提取事实区分。</w:t>
            </w:r>
          </w:p>
        </w:tc>
      </w:tr>
    </w:tbl>
    <w:p>
      <w:pPr>
        <w:pStyle w:val="Heading2"/>
      </w:pPr>
      <w:r>
        <w:t>内容优先级</w:t>
      </w:r>
    </w:p>
    <w:p>
      <w:r>
        <w:t>onepage 演示页承载**全部高信号板块**（由 S4 叙事主轴框定讲述逻辑），以高密度、板块分明、叙事逻辑清晰的方式在单屏 16:9 内完整呈现**提取轮的精确数字**（数值 + 单位，不四舍五入）——**不留白、不堆砌成无法阅读的墙，也不出现内部滚动条**（.slide.onepage 的 .sections 已 overflow:hidden，超出会被裁切，故必须用紧凑栅格与小字号把内容压进单屏）。穷尽规则仍由第四张「补充信息页」承接——凡无法纳入单屏的逐条全量 Extracted Data Registry 与各页定量明细，在补充信息页以 data-registry 高密度表穷尽呈现（超屏则内部滚动），确保不丢任何记录。</w:t>
      </w:r>
    </w:p>
    <w:p>
      <w:r>
        <w:t>**Registry 适用范围**：完整 Extracted Data Registry（全量记录）呈现在**补充信息页**（第五张 slide）与 reference list（第六张 slide）；onepage 演示页不再「只做提炼后的板块演示」——它额外承载一张**紧凑数据快照**（data-table，遴选核心代表性记录行，非全量 registry，**以精确数值呈现、不四舍五入**），并展示核心定量亮点（精确值）与主体对比（精确值），把更多原始数据直接呈现在演示页上；真正溢出的全量记录仍由补充信息页兜底，不丢任何记录。</w:t>
      </w:r>
    </w:p>
    <w:p>
      <w:pPr>
        <w:pStyle w:val="Heading1"/>
      </w:pPr>
      <w:r>
        <w:t>补充信息页（统一结构的第五张 slide）</w:t>
      </w:r>
    </w:p>
    <w:p>
      <w:r>
        <w:t>补充信息页（.slide.supp）专门承接穷尽规则：把 onepage 演示页因取舍而未展开的全部已确认内容——完整 Extracted Data Registry（所属主体 / 来源页 #N / 核心事实或状态 / 引用 [N]）、各页定量明细——以 data-registry 表穷尽呈现。当内容超出单屏时，该 slide 主体区内部纵向滚动（overflow-y:auto），不破屏、不加页、不丢记录。标题为「Supplementary Information」。</w:t>
      </w:r>
    </w:p>
    <w:p>
      <w:pPr>
        <w:pStyle w:val="Heading1"/>
      </w:pPr>
      <w:r>
        <w:t>可用组件（名称速查）</w:t>
      </w:r>
    </w:p>
    <w:p>
      <w:r>
        <w:t>完整定义与逐字模板代码（CSS / JS，含 deck 容器与 navigation）见 reference_library 的「Component Vocabulary」章节，生成时原样复制，不发明清单外 class。</w:t>
      </w:r>
    </w:p>
    <w:p>
      <w:pPr>
        <w:pStyle w:val="ListBullet"/>
      </w:pPr>
      <w:r>
        <w:t>Deck 骨架：deck slide slide.cover slide.onepage slide.supp deck-nav deck-progress</w:t>
      </w:r>
    </w:p>
    <w:p>
      <w:pPr>
        <w:pStyle w:val="ListBullet"/>
      </w:pPr>
      <w:r>
        <w:t>继承基础：cover slide-label divider quote-block vs-row/vs-col card-grid(cols-2|cols-3) card steps highlight-bar bullet-list ipo-flow data-table(best|second|check|cross) fig-container end-card</w:t>
      </w:r>
    </w:p>
    <w:p>
      <w:pPr>
        <w:pStyle w:val="ListBullet"/>
      </w:pPr>
      <w:r>
        <w:t>图表类型：chart-line chart-radar chart-bar chart-pie chart-stacked-bar chart-scatter</w:t>
      </w:r>
    </w:p>
    <w:p>
      <w:pPr>
        <w:pStyle w:val="ListBullet"/>
      </w:pPr>
      <w:r>
        <w:t>状态与引用：status-badge(green|yellow|red|neutral) status-summary ai-insight citation-ref contradiction-block data-registry reference-list</w:t>
      </w:r>
    </w:p>
    <w:p>
      <w:pPr>
        <w:pStyle w:val="ListBullet"/>
      </w:pPr>
      <w:r>
        <w:t>演示辅助：overview-card compact-ref-strip density-grid(cols-2|cols-3) mermaid-host</w:t>
      </w:r>
    </w:p>
    <w:p>
      <w:pPr>
        <w:pStyle w:val="ListBullet"/>
      </w:pPr>
      <w:r>
        <w:t>JS 库：Chart.js D3.js mermaid.js</w:t>
      </w:r>
    </w:p>
    <w:p>
      <w:pPr>
        <w:pStyle w:val="Heading1"/>
      </w:pPr>
      <w:r>
        <w:t>产出属性参考（详见 system_prompt）</w:t>
      </w:r>
    </w:p>
    <w:p>
      <w:pPr>
        <w:pStyle w:val="ListBullet"/>
      </w:pPr>
      <w:r>
        <w:t>默认产出物是单一、自包含的 .html 文件——一份可横向翻页的 16:9 幻灯片 deck。</w:t>
      </w:r>
    </w:p>
    <w:p>
      <w:pPr>
        <w:pStyle w:val="ListBullet"/>
      </w:pPr>
      <w:r>
        <w:t>Navigation：键盘左右方向键翻页、屏角上/下一页按钮、底部页码与进度条；body{overflow:hidden} 锁单屏；每张 slide 为居中 16:9 舞台。</w:t>
      </w:r>
    </w:p>
    <w:p>
      <w:pPr>
        <w:pStyle w:val="ListBullet"/>
      </w:pPr>
      <w:r>
        <w:t>语言：**全英文**——UI 标签（按钮 / 章节名 / 表头 / 导航）与正文内容一律英文；配方号、专有名词与 [N] 引用原样保留。</w:t>
      </w:r>
    </w:p>
    <w:p>
      <w:pPr>
        <w:pStyle w:val="ListBullet"/>
      </w:pPr>
      <w:r>
        <w:t>关系图由分析轮 S3 的 mermaid 代码块直接渲染（mermaid.js，useMaxWidth:false），填满整张 16:9 slide，不重新绘制；AI 综合重建的图 → chart-*（Visualization Protocol），不嵌入原始截图字节（无 base64 / 无 &lt;svg&gt; 重现图像）。</w:t>
      </w:r>
    </w:p>
    <w:p>
      <w:pPr>
        <w:pStyle w:val="ListBullet"/>
      </w:pPr>
      <w:r>
        <w:t>呈现：body{overflow:hidden;height:100vh;user-select:none;cursor:default}；字号用 clamp() 响应式；@media (max-width:900px) 降级列数。</w:t>
      </w:r>
    </w:p>
    <w:p>
      <w:pPr>
        <w:pStyle w:val="ListBullet"/>
      </w:pPr>
      <w:r>
        <w:t>每张 slide 均为 16:9（封面 / 关系图 / 叙事弧 / onepage / 补充信息 / reference list 六张同为 16:9 舞台，横向翻页排布于单一 HTML 文档）。</w:t>
      </w:r>
    </w:p>
    <w:p>
      <w:pPr>
        <w:pStyle w:val="ListBullet"/>
      </w:pPr>
      <w:r>
        <w:t>穷尽分层：onepage 演示页以高密度多板块综合演示承载主要高信号内容、**精确数字**与紧凑数据快照（单屏 16:9、不留白、无内部滚动）；无法纳入单屏的逐条全量记录一律下沉到补充信息页穷尽呈现（超屏内部滚动），不丢任何记录。</w:t>
      </w:r>
    </w:p>
    <w:p>
      <w:pPr>
        <w:pStyle w:val="ListBullet"/>
      </w:pPr>
      <w:r>
        <w:t>所有颜色通过 Design Tokens 解析（reference_library 的「Design Tokens」章节），不出现裸 hex / rgb / rgba。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