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F6D2DF4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Output Framework — 统一产出结构参考（16:9 幻灯片 deck：封面 → 关系图 → 叙事弧 → onepage 演示页 → 补充信息页 → 数据 reference list）</w:t>
      </w:r>
    </w:p>
    <w:p w14:paraId="621FFFA4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本文件是渲染轮的结构参考：列出统一产出结构（16:9 幻灯片 deck）的固定六张 slide 章节序列、navigation 要求与可用组件名称速查。它不含指令——具体的渲染指令与硬约束见 system_prompt 的渲染轮与 Behavior Rules。组件代码（CSS / JS，含 deck 容器与 navigation）与色值定义不在本文件重复，分别见 reference_library 的「Component Vocabulary」章节 与 reference_library 的「Design Tokens」章节；反漂移与出稿核对见 reference_library 的「Constraints &amp; Checks」章节。</w:t>
      </w:r>
    </w:p>
    <w:p w14:paraId="1E23CC96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当前任务采用统一产出结构：渲染轮始终产出一份**可横向翻页的 16:9 幻灯片 deck**（一个 .deck 容器 + 固定六张 .slide + navigation），而非长文档裁屏或单页 dashboard。六张 slide 依次为：① 封面（cover）② 关系图（S3 结构层级图）③ 叙事弧（S4 叙事弧）④ onepage 演示页（高密度、多板块综合演示，单屏 16:9、不留白、无内部滚动）⑤ 补充信息页（Supplementary Information，穷尽兜底）⑥ 数据 reference list。全部文字一律英文。</w:t>
      </w:r>
    </w:p>
    <w:p w14:paraId="49B68C63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统一产出结构（固定六张 slide + navigation）</w:t>
      </w:r>
    </w:p>
    <w:p w14:paraId="0022BAAD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Navigation 要求：deck 支持横向翻页——键盘左右方向键（ArrowLeft / ArrowRight）翻页、屏角「上一页 / 下一页」按钮、底部页码计数与顶部进度条；body{overflow:hidden} 锁定单屏，每张 slide 为居中的 16:9 舞台（deck 深色背景形成 letterbox）。deck 容器 / slide / deck-nav / deck-progress 的逐字模板见 reference_library 的「Component Vocabulary」章节。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B338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顺序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0FC8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章节（slide）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72839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要点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C354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3F20C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封面 Cover slide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96FD5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项目标题、目标主体、生成时间戳、一句话定位。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4708A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23E4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关系图 Relationship Map slide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832FB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置入分析轮 S3 产出的 mermaid 结构层级图（呈现各主体与证据类型的从属/并列、以及收敛/矛盾脉络，各自标注 [N]）。该图须填满整张 16:9 slide（mermaid useMaxWidth:false，SVG width/height:100%、max-width:none），不得渲染成居中小图。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2E67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95DBE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叙事弧 Narrative Arc slide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D5D29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置入分析轮 S4 产出的 mermaid 叙事弧图（故事走向：起点 → 转折/矛盾 → 收束）。该图同样须填满整张 16:9 slide（mermaid useMaxWidth:false，SVG width/height:100%、max-width:none），不得渲染成居中小图；与关系图分工（结构图讲演员关系，本页讲剧情走向），独立成页。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04B51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1857F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onepage 演示页 Onepage slide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27D2D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演示用文稿：由 S4 叙事主轴框定讲述逻辑、单屏 16:9、不留白、无内部滚动，并以高密度多板块综合演示**承载提取轮的精确数字**（数值 + 单位，不四舍五入）。板块按 S4 节拍排列：概述 → 主题/信号覆盖 → 核心定量亮点 → 主体对比 → 矛盾点 → 红黄绿风险 → 紧凑数据快照 → 商业洞察。区块结构见下文。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0E9DE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35CFC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补充信息页 Supplementary Information slide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E0E22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承接穷尽规则：凡未在 onepage 演示页展开的全量信息（完整 Extracted Data Registry / 各页定量明细）在此以 data-registry 表穷尽呈现；内容超出单屏时该 slide 内部纵向滚动（overflow-y:auto），不破屏、不加页、不丢记录。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74905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CB74A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数据 reference list References slide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6E552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全量引用溯源清单（#N → 源文件 / 类型 / 源页 / 关键术语），供下游核对。</w:t>
            </w:r>
          </w:p>
        </w:tc>
      </w:tr>
    </w:tbl>
    <w:p w14:paraId="0A851133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onepage 演示页（统一结构的第三张 slide）</w:t>
      </w:r>
    </w:p>
    <w:p w14:paraId="21725BF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页面定义</w:t>
      </w:r>
    </w:p>
    <w:p w14:paraId="6402ABE1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单屏 16:9 的演示 slide（.slide.onepage）。它是**演示用文稿**——由 S4 叙事主轴与故事节拍框定讲述逻辑（"用数据讲出的项目故事"），**以极致信息密度排布在单张 16:9 slide 上**并**承载提取轮的精确数字（数值 + 单位，不四舍五入概括）**：**不留白、不出现内部滚动条，所有板块须在单屏内完整呈现**。onepage 顶部为固定头部（标题 / 项目编号，可放紧凑 status-summary），主体区以高密度栅格（card-grid / density-grid / vs-row 多列）+ 紧凑字号（clamp 小字号）+ 极小间距排布下列全部板块；只有真正无法纳入单屏的逐条全量记录才下沉到第四张「补充信息页」。每板块用 slide-label 作小节标题。</w:t>
      </w:r>
    </w:p>
    <w:p w14:paraId="0665C8E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区块结构（高密度多板块）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8ADB9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板块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B1D0B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优先级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2DFD3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内容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5D6C3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项目主体概述（overview-card）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A99B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必须（0）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DF583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顶部通栏、紧凑：以 S4 叙事主轴（thesis 句）作为 one-liner 一句话短述 + 简要概览（目标主体 / 类型覆盖 CLINS·FE·CE / 关键结论走向）。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BEE3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主题 / 信号覆盖（card-grid / bullet-list）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36E98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（1）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73C41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列出本次覆盖的 CLINS / FE / CE 主题分块及其各自结论走向（附 [N]），一眼掌握维度与议题范围。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67CA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核心定量亮点（card-grid / density-grid）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D5EE8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（2）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54648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精选但承载**精确数值**的功效 / 感官 / 消费者指标（精确值 + 单位 + 状态色 status-badge），各附 [N]；不四舍五入、不概括，尽量多塞高信号精确数字。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C5E9E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主体对比（vs-row / vs-col）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EE7BF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（3）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002D8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目标主体 vs 对照主体的关键指标并排对比，直观显示优劣（各附 [N]）。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26839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矛盾点（contradiction-block）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C3AE6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（4）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B66F8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并列同一主体下相互冲突的 CLINS / FE / CE 证据（各附 [N]），后接成因 ai-insight。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7B491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红黄绿风险等级（status-summary）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B1BBD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（5）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2A354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整体评级 + 各 type 徽章（status-badge green/yellow/red/neutral），突出 worst-of-N；多主体各自一组，不合并。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87F68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紧凑数据快照（data-table）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0D425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（6）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CB2C2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一张紧凑核心记录表（所属主体 / 指标 / **精确值** / 状态 / [N]），保留精确数字、不概括；遴选代表性行，比纯叙述承载更多原始数据。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3A2E1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商业洞察（ai-insight）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2C221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（7）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8A10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基于 AI 全局视角的综合判断与决策含义（青色 ai-insight）；AI 原创解读，与提取事实区分。</w:t>
            </w:r>
          </w:p>
        </w:tc>
      </w:tr>
    </w:tbl>
    <w:p w14:paraId="1387BEF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内容优先级</w:t>
      </w:r>
    </w:p>
    <w:p w14:paraId="13AAB316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onepage 演示页承载**全部高信号板块**（由 S4 叙事主轴框定讲述逻辑），以高密度、板块分明、叙事逻辑清晰的方式在单屏 16:9 内完整呈现**提取轮的精确数字**（数值 + 单位，不四舍五入）——**不留白、不堆砌成无法阅读的墙，也不出现内部滚动条**（.slide.onepage 的 .sections 已 overflow:hidden，超出会被裁切，故必须用紧凑栅格与小字号把内容压进单屏）。穷尽规则仍由第四张「补充信息页」承接——凡无法纳入单屏的逐条全量 Extracted Data Registry 与各页定量明细，在补充信息页以 data-registry 高密度表穷尽呈现（超屏则内部滚动），确保不丢任何记录。</w:t>
      </w:r>
    </w:p>
    <w:p w14:paraId="43A4ADB8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**Registry 适用范围**：完整 Extracted Data Registry（全量记录）呈现在**补充信息页**（第五张 slide）与 reference list（第六张 slide）；onepage 演示页不再「只做提炼后的板块演示」——它额外承载一张**紧凑数据快照**（data-table，遴选核心代表性记录行，非全量 registry，**以精确数值呈现、不四舍五入**），并展示核心定量亮点（精确值）与主体对比（精确值），把更多原始数据直接呈现在演示页上；真正溢出的全量记录仍由补充信息页兜底，不丢任何记录。</w:t>
      </w:r>
    </w:p>
    <w:p w14:paraId="470FEE31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补充信息页（统一结构的第五张 slide）</w:t>
      </w:r>
    </w:p>
    <w:p w14:paraId="04AAF61D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补充信息页（.slide.supp）专门承接穷尽规则：把 onepage 演示页因取舍而未展开的全部已确认内容——完整 Extracted Data Registry（所属主体 / 来源页 #N / 核心事实或状态 / 引用 [N]）、各页定量明细——以 data-registry 表穷尽呈现。当内容超出单屏时，该 slide 主体区内部纵向滚动（overflow-y:auto），不破屏、不加页、不丢记录。标题为「Supplementary Information」。</w:t>
      </w:r>
    </w:p>
    <w:p w14:paraId="053FD391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可用组件（名称速查）</w:t>
      </w:r>
    </w:p>
    <w:p w14:paraId="4E3F739B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完整定义与逐字模板代码（CSS / JS，含 deck 容器与 navigation）见 reference_library 的「Component Vocabulary」章节，生成时原样复制，不发明清单外 class。</w:t>
      </w:r>
    </w:p>
    <w:p w14:paraId="0D3193A8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Deck 骨架：deck slide slide.cover slide.onepage slide.supp deck-nav deck-progress</w:t>
      </w:r>
    </w:p>
    <w:p w14:paraId="72149151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继承基础：cover slide-label divider quote-block vs-row/vs-col card-grid(cols-2|cols-3) card steps highlight-bar bullet-list ipo-flow data-table(best|second|check|cross) fig-container end-card</w:t>
      </w:r>
    </w:p>
    <w:p w14:paraId="524D2BDC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图表类型：chart-line chart-radar chart-bar chart-pie chart-stacked-bar chart-scatter</w:t>
      </w:r>
    </w:p>
    <w:p w14:paraId="7B89F157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状态与引用：status-badge(green|yellow|red|neutral) status-summary ai-insight citation-ref contradiction-block data-registry reference-list</w:t>
      </w:r>
    </w:p>
    <w:p w14:paraId="1947AD1F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演示辅助：overview-card compact-ref-strip density-grid(cols-2|cols-3) mermaid-host</w:t>
      </w:r>
    </w:p>
    <w:p w14:paraId="7D8014BE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JS 库：Chart.js D3.js mermaid.js</w:t>
      </w:r>
    </w:p>
    <w:p w14:paraId="6CF422ED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产出属性参考（详见 system_prompt）</w:t>
      </w:r>
    </w:p>
    <w:p w14:paraId="0B70CF37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默认产出物是单一、自包含的 .html 文件——一份可横向翻页的 16:9 幻灯片 deck。</w:t>
      </w:r>
    </w:p>
    <w:p w14:paraId="48FD72B4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Navigation：键盘左右方向键翻页、屏角上/下一页按钮、底部页码与进度条；body{overflow:hidden} 锁单屏；每张 slide 为居中 16:9 舞台。</w:t>
      </w:r>
    </w:p>
    <w:p w14:paraId="6590238F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语言：**全英文**——UI 标签（按钮 / 章节名 / 表头 / 导航）与正文内容一律英文；配方号、专有名词与 [N] 引用原样保留。</w:t>
      </w:r>
    </w:p>
    <w:p w14:paraId="3CBC363E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关系图由分析轮 S3 的 mermaid 代码块直接渲染（mermaid.js，useMaxWidth:false），填满整张 16:9 slide，不重新绘制；AI 综合重建的图 → chart-*（Visualization Protocol），不嵌入原始截图字节（无 base64 / 无 &lt;svg&gt; 重现图像）。</w:t>
      </w:r>
    </w:p>
    <w:p w14:paraId="28BC6162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呈现：body{overflow:hidden;height:100vh;user-select:none;cursor:default}；字号用 clamp() 响应式；@media (max-width:900px) 降级列数。</w:t>
      </w:r>
    </w:p>
    <w:p w14:paraId="21ED96DA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每张 slide 均为 16:9（封面 / 关系图 / 叙事弧 / onepage / 补充信息 / reference list 六张同为 16:9 舞台，横向翻页排布于单一 HTML 文档）。</w:t>
      </w:r>
    </w:p>
    <w:p w14:paraId="31A3CF94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穷尽分层：onepage 演示页以高密度多板块综合演示承载主要高信号内容、**精确数字**与紧凑数据快照（单屏 16:9、不留白、无内部滚动）；无法纳入单屏的逐条全量记录一律下沉到补充信息页穷尽呈现（超屏内部滚动），不丢任何记录。</w:t>
      </w:r>
    </w:p>
    <w:p w14:paraId="7C6901EC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所有颜色通过 Design Tokens 解析（reference_library 的「Design Tokens」章节），不出现裸 hex / rgb / rgba。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2026-07-28T11:48:12.884Z</dcterms:modified>
  <cp:category/>
</cp:coreProperties>
</file>