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Dossier Management — Companion Reference Library</w:t>
      </w:r>
    </w:p>
    <w:p>
      <w:r>
        <w:t>FROZEN reference bundle. This document aggregates the reference material that accompanies `system_prompt` (the orchestrator / brain). The downstream AI should consult the matching section when the task reaches the relevant step — see the Reference Library table in system_prompt. Do NOT modify any value, class name, or code block copied from this library; it is the single source of truth for design tokens, component templates (incl. the 16:9 slide-deck container and its navigation), and the visualization protocol.</w:t>
      </w:r>
    </w:p>
    <w:p>
      <w:pPr>
        <w:pStyle w:val="Heading1"/>
      </w:pPr>
      <w:r>
        <w:t>Design Tokens — 唯一取色来源</w:t>
      </w:r>
    </w:p>
    <w:p>
      <w:r>
        <w:t>本文件是色值参考表。生成 HTML 时，将下方 :root 块用于 &lt;style&gt; 顶部；色值为固定字面值，逐字符使用。若用户明确要求更换配色方案，仅调整 token 的具体色值，周围的 CSS 结构与变量命名保持完全不变。</w:t>
      </w:r>
    </w:p>
    <w:p>
      <w:r>
        <w:t>:root {</w:t>
        <w:br/>
        <w:t xml:space="preserve">  /* 基础主题色 */</w:t>
        <w:br/>
        <w:t xml:space="preserve">  --bg: #f9f9f2; --text: #000; --title: #3966A2; --accent: #132843;</w:t>
        <w:br/>
        <w:t xml:space="preserve">  --secondary: #6191D3; --light-bg: #F5F8FC; --card-bg: #f9f9f2;</w:t>
        <w:br/>
        <w:t xml:space="preserve">  --border: #E2E8F0; --radius: 14px;</w:t>
        <w:br/>
        <w:t xml:space="preserve">  /* 语义状态色——对应绿/黄/红含义 */</w:t>
        <w:br/>
        <w:t xml:space="preserve">  --status-green: #2FB344; --status-green-bg: #E8F9EC;</w:t>
        <w:br/>
        <w:t xml:space="preserve">  --status-yellow: #E0A800; --status-yellow-bg: #FFF6DD;</w:t>
        <w:br/>
        <w:t xml:space="preserve">  --status-red: #E5342A; --status-red-bg: #FDEBEA;</w:t>
        <w:br/>
        <w:t xml:space="preserve">  /* AI 解读色——对应"青色=AI推理" */</w:t>
        <w:br/>
        <w:t xml:space="preserve">  --ai-cyan: #00ACC1; --ai-cyan-bg: #E0F7FA;</w:t>
        <w:br/>
        <w:t xml:space="preserve">  /* 中性/未评级 token —— 仅用于 Unrated 边界情况 */</w:t>
        <w:br/>
        <w:t xml:space="preserve">  --status-neutral: #9CA3AF; --status-neutral-bg: #F3F4F6;</w:t>
        <w:br/>
        <w:t xml:space="preserve">  --hover-overlay: rgba(0,0,0,0.03);</w:t>
        <w:br/>
        <w:t xml:space="preserve">  --letterbox: #0e1b2e;     /* deck 背景/letterbox 专用深色 */</w:t>
        <w:br/>
        <w:t xml:space="preserve">  --on-accent: #fff;        /* 反白文字专用（深色块上的白字） */</w:t>
        <w:br/>
        <w:t>}</w:t>
      </w:r>
    </w:p>
    <w:p>
      <w:pPr>
        <w:pStyle w:val="Heading2"/>
      </w:pPr>
      <w:r>
        <w:t>取色规则（参考属性）</w:t>
      </w:r>
    </w:p>
    <w:p>
      <w:pPr>
        <w:pStyle w:val="ListBullet"/>
      </w:pPr>
      <w:r>
        <w:t>所有颜色（线条、填充、文字、边框、遮罩、透明度效果）通过 var(--token-name) 解析。</w:t>
      </w:r>
    </w:p>
    <w:p>
      <w:pPr>
        <w:pStyle w:val="ListBullet"/>
      </w:pPr>
      <w:r>
        <w:t>输出的 CSS 或行内样式中，裸的十六进制色值、rgb()、rgba() 均不出现；若需要透明度效果，在 :root 中新增一个具名 token（例如上面的 --hover-overlay），而非在组件规则内硬编码。</w:t>
      </w:r>
    </w:p>
    <w:p>
      <w:pPr>
        <w:pStyle w:val="ListBullet"/>
      </w:pPr>
      <w:r>
        <w:t>所有 AI 解读的产物由 AI 解读色（--ai-cyan / --ai-cyan-bg）表示，与原材料中的声明区分。</w:t>
      </w:r>
    </w:p>
    <w:p>
      <w:pPr>
        <w:pStyle w:val="ListBullet"/>
      </w:pPr>
      <w:r>
        <w:t>这些十六进制色值是字面值、最终值，逐字符使用。</w:t>
      </w:r>
    </w:p>
    <w:p>
      <w:pPr>
        <w:pStyle w:val="Heading1"/>
      </w:pPr>
      <w:r>
        <w:t>Component Vocabulary — 组件白名单与逐字模板</w:t>
      </w:r>
    </w:p>
    <w:p>
      <w:r>
        <w:t>本文件是 HTML 产出物的组件与代码参考。下列 &lt;style&gt; / &lt;script&gt; 代码块为可直接复制进产出物的模板，原样使用，不做"优化"或重构。产出物是一份**可横向翻页的 16:9 幻灯片 deck**（deck 容器 + 六张 slide + navigation）。所有颜色通过 :root token 解析（token 定义见本库「Design Tokens」章节，本文件的 &lt;style&gt; 已内嵌一份相同的 :root，可直接粘贴）。</w:t>
      </w:r>
    </w:p>
    <w:p>
      <w:pPr>
        <w:pStyle w:val="Heading2"/>
      </w:pPr>
      <w:r>
        <w:t>组件白名单</w:t>
      </w:r>
    </w:p>
    <w:p>
      <w:r>
        <w:t>HTML 中使用的 class 限于下列集合（若某种呈现需求在清单中找不到对应组件，应优先复用最接近的现有组件）。</w:t>
      </w:r>
    </w:p>
    <w:p>
      <w:pPr>
        <w:pStyle w:val="Heading3"/>
      </w:pPr>
      <w:r>
        <w:t>Deck 骨架组件（16:9 幻灯片 deck 专属）</w:t>
      </w:r>
    </w:p>
    <w:p>
      <w:pPr>
        <w:pStyle w:val="ListBullet"/>
      </w:pPr>
      <w:r>
        <w:t>`deck`——外层容器，占满视口、深色 letterbox 背景，所有 slide 叠放其中。</w:t>
      </w:r>
    </w:p>
    <w:p>
      <w:pPr>
        <w:pStyle w:val="ListBullet"/>
      </w:pPr>
      <w:r>
        <w:t>`slide`——单张 16:9 舞台（居中于 deck）；修饰类：slide.cover（封面）/ slide.onepage（演示页）/ slide.supp（补充信息页）。仅 .active 的 slide 可见。</w:t>
      </w:r>
    </w:p>
    <w:p>
      <w:pPr>
        <w:pStyle w:val="ListBullet"/>
      </w:pPr>
      <w:r>
        <w:t>`deck-nav`——底部悬浮导航条：prev / next 按钮 + counter 页码（如 `1 / 5`）。</w:t>
      </w:r>
    </w:p>
    <w:p>
      <w:pPr>
        <w:pStyle w:val="ListBullet"/>
      </w:pPr>
      <w:r>
        <w:t>`deck-progress`——顶部进度条，随当前 slide 推进。</w:t>
      </w:r>
    </w:p>
    <w:p>
      <w:pPr>
        <w:pStyle w:val="ListBullet"/>
      </w:pPr>
      <w:r>
        <w:t>`slide-head` / `sections`——onepage 内的固定头部与主体板块容器（板块小标题复用 slide-label）。</w:t>
      </w:r>
    </w:p>
    <w:p>
      <w:pPr>
        <w:pStyle w:val="Heading3"/>
      </w:pPr>
      <w:r>
        <w:t>继承基础组件（结构 / CSS 取自本文件）</w:t>
      </w:r>
    </w:p>
    <w:p>
      <w:r>
        <w:t>`cover / slide-label / divider / quote-block / vs-row(vs-col) / card-grid(cols-2|cols-3) / card / steps / highlight-bar / bullet-list / ipo-flow / data-table(best|second|check|cross) / fig-container / end-card`</w:t>
      </w:r>
    </w:p>
    <w:p>
      <w:pPr>
        <w:pStyle w:val="Heading3"/>
      </w:pPr>
      <w:r>
        <w:t>图表类型</w:t>
      </w:r>
    </w:p>
    <w:p>
      <w:r>
        <w:t>chart-line / chart-radar / chart-bar / chart-pie / chart-stacked-bar / chart-scatter</w:t>
      </w:r>
    </w:p>
    <w:p>
      <w:pPr>
        <w:pStyle w:val="Heading3"/>
      </w:pPr>
      <w:r>
        <w:t>本 Companion 新增组件（与继承组件同等的不可篡改地位）</w:t>
      </w:r>
    </w:p>
    <w:p>
      <w:pPr>
        <w:pStyle w:val="ListBullet"/>
      </w:pPr>
      <w:r>
        <w:t>`status-badge`（变体：status-badge--green|yellow|red|neutral）：胶囊状标签，圆点+文字，用于展示主体 / type 层级的评级结果。--neutral 变体在判定某 type 所有子指标状态均为 N/A 时使用，代表"未评级"，不与绿 / 黄 / 红互相替代。</w:t>
      </w:r>
    </w:p>
    <w:p>
      <w:pPr>
        <w:pStyle w:val="ListBullet"/>
      </w:pPr>
      <w:r>
        <w:t>`status-summary`——"总体 → 分项"结构的组合区块：一个较大的 status-badge（整体评级）+ 一排较小的 status-badge（各 type 评级）。多主体各自一组，不合并。用于 onepage 演示页的「红黄绿风险等级」板块。</w:t>
      </w:r>
    </w:p>
    <w:p>
      <w:pPr>
        <w:pStyle w:val="ListBullet"/>
      </w:pPr>
      <w:r>
        <w:t>`ai-insight`——左侧色条+浅底色的提示区块，--ai-cyan 主色 + --ai-cyan-bg 背景色，固定以"AI Insight"小标签开头。用于 onepage 演示页的「商业洞察」板块、矛盾成因推断、以及一切 AI 自身推理内容。</w:t>
      </w:r>
    </w:p>
    <w:p>
      <w:pPr>
        <w:pStyle w:val="ListBullet"/>
      </w:pPr>
      <w:r>
        <w:t>`citation-ref`——行内小型上标样式的 [N] 标签，样式使用 --secondary 色。</w:t>
      </w:r>
    </w:p>
    <w:p>
      <w:pPr>
        <w:pStyle w:val="ListBullet"/>
      </w:pPr>
      <w:r>
        <w:t>`contradiction-block`——基于 vs-row 的变体，顶部红色强调边框，配一个小的"⚠ Contradiction"标签，用于 onepage 演示页的「矛盾点」板块，通常后接一个解释成因的 ai-insight。</w:t>
      </w:r>
    </w:p>
    <w:p>
      <w:pPr>
        <w:pStyle w:val="ListBullet"/>
      </w:pPr>
      <w:r>
        <w:t>`data-registry`——data-table 风格的高密度多行附录表格，用于**补充信息页**列出 Data Extraction 阶段的每一条记录（至少含 所属主体 / 来源页 #N / 核心事实或状态 / 引用 [N]）。</w:t>
      </w:r>
    </w:p>
    <w:p>
      <w:pPr>
        <w:pStyle w:val="ListBullet"/>
      </w:pPr>
      <w:r>
        <w:t>`reference-list`——收尾 slide 的紧凑多栏列表，样式类似 data-table，将每个 [N] 映射到完整的来源描述。</w:t>
      </w:r>
    </w:p>
    <w:p>
      <w:pPr>
        <w:pStyle w:val="ListBullet"/>
      </w:pPr>
      <w:r>
        <w:t>`overview-card`——概览信息卡片：onepage 演示页第 0 板块（一句话短述 + 元数据）。</w:t>
      </w:r>
    </w:p>
    <w:p>
      <w:pPr>
        <w:pStyle w:val="ListBullet"/>
      </w:pPr>
      <w:r>
        <w:t>`compact-ref-strip` / `density-grid(cols-2|cols-3)`——演示辅助：精简行内引用条 / 可选的密度网格（用于补充信息页分组或 onepage 卡片排布）。</w:t>
      </w:r>
    </w:p>
    <w:p>
      <w:pPr>
        <w:pStyle w:val="ListBullet"/>
      </w:pPr>
      <w:r>
        <w:t>`mermaid-host`——关系图 / 叙事弧 slide 的挂载容器：将 S3 结构图与 S4 叙事弧 mermaid 代码块分别放入各自独立的整页 slide（均填满整张 16:9，SVG 100%），不缩成居中小图。</w:t>
      </w:r>
    </w:p>
    <w:p>
      <w:pPr>
        <w:pStyle w:val="Heading3"/>
      </w:pPr>
      <w:r>
        <w:t>JS 库组件</w:t>
      </w:r>
    </w:p>
    <w:p>
      <w:r>
        <w:t>Chart.js / D3.js / mermaid.js</w:t>
      </w:r>
    </w:p>
    <w:p>
      <w:r>
        <w:t>这些 JS 库的加载方式（参考）：在 HTML &lt;head&gt; 中按需引入对应固定版本的 CDN（版本号冻结）：</w:t>
        <w:br/>
        <w:t>&lt;script src="https://cdn.jsdelivr.net/npm/chart.js@4.4.1/dist/chart.umd.js"&gt;&lt;/script&gt;</w:t>
        <w:br/>
        <w:t>&lt;script src="https://cdn.jsdelivr.net/npm/d3@7.8.5/dist/d3.min.js"&gt;&lt;/script&gt;</w:t>
        <w:br/>
        <w:t>&lt;script src="https://cdn.jsdelivr.net/npm/mermaid@10.9.1/dist/mermaid.min.js"&gt;&lt;/script&gt;</w:t>
        <w:br/>
        <w:t>仅引入任务实际用到的库；deck navigation 与 mermaid 初始化脚本见下方「逐字模板 — 脚本」。</w:t>
      </w:r>
    </w:p>
    <w:p>
      <w:pPr>
        <w:pStyle w:val="Heading2"/>
      </w:pPr>
      <w:r>
        <w:t>逐字模板 — 样式（复制进产出物 &lt;style&gt;）</w:t>
      </w:r>
    </w:p>
    <w:p>
      <w:r>
        <w:t>&lt;style&gt;</w:t>
        <w:br/>
        <w:t>/* ===================== Design Tokens (唯一取色来源) ===================== */</w:t>
        <w:br/>
        <w:t>:root {</w:t>
        <w:br/>
        <w:t xml:space="preserve">  --bg: #f9f9f2; --text: #000; --title: #3966A2; --accent: #132843;</w:t>
        <w:br/>
        <w:t xml:space="preserve">  --secondary: #6191D3; --light-bg: #F5F8FC; --card-bg: #f9f9f2;</w:t>
        <w:br/>
        <w:t xml:space="preserve">  --border: #E2E8F0; --radius: 14px;</w:t>
        <w:br/>
        <w:t xml:space="preserve">  --status-green: #2FB344; --status-green-bg: #E8F9EC;</w:t>
        <w:br/>
        <w:t xml:space="preserve">  --status-yellow: #E0A800; --status-yellow-bg: #FFF6DD;</w:t>
        <w:br/>
        <w:t xml:space="preserve">  --status-red: #E5342A; --status-red-bg: #FDEBEA;</w:t>
        <w:br/>
        <w:t xml:space="preserve">  --ai-cyan: #00ACC1; --ai-cyan-bg: #E0F7FA;</w:t>
        <w:br/>
        <w:t xml:space="preserve">  --status-neutral: #9CA3AF; --status-neutral-bg: #F3F4F6;</w:t>
        <w:br/>
        <w:t xml:space="preserve">  --hover-overlay: rgba(0,0,0,0.03);</w:t>
        <w:br/>
        <w:t xml:space="preserve">  --letterbox: #0e1b2e;</w:t>
        <w:br/>
        <w:t xml:space="preserve">  --on-accent: #fff;</w:t>
        <w:br/>
        <w:t>}</w:t>
        <w:br/>
        <w:br/>
        <w:t>/* ===================== 基础排版 ===================== */</w:t>
        <w:br/>
        <w:t>* { box-sizing: border-box; }</w:t>
        <w:br/>
        <w:t>html, body { height: 100%; }</w:t>
        <w:br/>
        <w:t>body {</w:t>
        <w:br/>
        <w:t xml:space="preserve">  margin: 0;</w:t>
        <w:br/>
        <w:t xml:space="preserve">  font-family: "Segoe UI", "Helvetica Neue", Arial, sans-serif;</w:t>
        <w:br/>
        <w:t xml:space="preserve">  color: var(--text); background: var(--letterbox);</w:t>
        <w:br/>
        <w:t xml:space="preserve">  overflow: hidden; height: 100vh; user-select: none; cursor: default;</w:t>
        <w:br/>
        <w:t>}</w:t>
        <w:br/>
        <w:t>h1, h2, h3 { color: var(--title); margin: 0 0 .4em; }</w:t>
        <w:br/>
        <w:t>p { line-height: 1.5; }</w:t>
        <w:br/>
        <w:br/>
        <w:t>/* ===================== Deck 骨架（16:9 幻灯片 deck） ===================== */</w:t>
        <w:br/>
        <w:t>.deck { position: relative; width: 100vw; height: 100vh; overflow: hidden; background: var(--letterbox); }</w:t>
        <w:br/>
        <w:t>/* 每张 slide = 居中的 16:9 舞台；隐藏用 visibility 以保留布局尺寸(mermaid/Chart 需可测量) */</w:t>
        <w:br/>
        <w:t>.slide {</w:t>
        <w:br/>
        <w:t xml:space="preserve">  position: absolute; top: 50%; left: 50%; transform: translate(-50%, -50%);</w:t>
        <w:br/>
        <w:t xml:space="preserve">  width: min(100vw, 177.78vh); height: min(56.25vw, 100vh);</w:t>
        <w:br/>
        <w:t xml:space="preserve">  background: var(--bg); overflow: hidden; padding: 4.2vh 4.5vw;</w:t>
        <w:br/>
        <w:t xml:space="preserve">  display: flex; flex-direction: column;</w:t>
        <w:br/>
        <w:t xml:space="preserve">  opacity: 0; visibility: hidden; transition: opacity .35s ease;</w:t>
        <w:br/>
        <w:t>}</w:t>
        <w:br/>
        <w:t>.slide.active { opacity: 1; visibility: visible; }</w:t>
        <w:br/>
        <w:t>.slide.cover { justify-content: center; }</w:t>
        <w:br/>
        <w:t>/* onepage 内部：固定头部 + 板块主体（板块分明，非堆砌） */</w:t>
        <w:br/>
        <w:t>.slide-head { flex: 0 0 auto; margin-bottom: .8rem; }</w:t>
        <w:br/>
        <w:t>.sections { flex: 1 1 auto; min-height: 0; display: flex; flex-direction: column; gap: 1rem; overflow: hidden; }</w:t>
        <w:br/>
        <w:t>/* 补充信息页：主体区可纵向滚动以承载全量 registry */</w:t>
        <w:br/>
        <w:t>.slide.supp .sections { overflow-y: auto; scrollbar-width: thin; }</w:t>
        <w:br/>
        <w:br/>
        <w:t>/* deck navigation */</w:t>
        <w:br/>
        <w:t>.deck-nav {</w:t>
        <w:br/>
        <w:t xml:space="preserve">  position: fixed; bottom: 1.4vh; left: 50%; transform: translateX(-50%);</w:t>
        <w:br/>
        <w:t xml:space="preserve">  display: flex; align-items: center; gap: .8rem; z-index: 50;</w:t>
        <w:br/>
        <w:t xml:space="preserve">  background: var(--card-bg); border: 1px solid var(--border);</w:t>
        <w:br/>
        <w:t xml:space="preserve">  border-radius: 999px; padding: .25rem .7rem; box-shadow: 0 2px 8px var(--hover-overlay);</w:t>
        <w:br/>
        <w:t>}</w:t>
        <w:br/>
        <w:t>.deck-nav button {</w:t>
        <w:br/>
        <w:t xml:space="preserve">  border: none; background: transparent; color: var(--title);</w:t>
        <w:br/>
        <w:t xml:space="preserve">  font-size: 1.2rem; line-height: 1; cursor: pointer;</w:t>
        <w:br/>
        <w:t xml:space="preserve">  width: 2rem; height: 2rem; border-radius: 50%;</w:t>
        <w:br/>
        <w:t>}</w:t>
        <w:br/>
        <w:t>.deck-nav button:hover { background: var(--light-bg); }</w:t>
        <w:br/>
        <w:t>.deck-nav .counter { font-size: .85rem; color: var(--secondary); min-width: 3.6rem; text-align: center; }</w:t>
        <w:br/>
        <w:t>.deck-progress { position: fixed; top: 0; left: 0; height: 3px; width: 0; background: var(--secondary); z-index: 50; transition: width .3s ease; }</w:t>
        <w:br/>
        <w:br/>
        <w:t>/* ===================== 继承基础组件 ===================== */</w:t>
        <w:br/>
        <w:t>.cover { width: 100%; height: 100%; display: flex; flex-direction: column; justify-content: center; background: var(--bg); }</w:t>
        <w:br/>
        <w:t>.cover h1 { font-size: clamp(2rem, 4vw, 3.4rem); color: var(--accent); }</w:t>
        <w:br/>
        <w:t>.cover .sub { color: var(--secondary); font-size: clamp(.9rem, 1.4vw, 1.2rem); }</w:t>
        <w:br/>
        <w:t>.cover .meta { margin-top: 4vh; color: var(--text); font-size: clamp(.8rem, 1.1vw, 1rem); }</w:t>
        <w:br/>
        <w:t>.cover .meta b { color: var(--title); }</w:t>
        <w:br/>
        <w:t>.slide-label { display: inline-block; font-size: .8rem; letter-spacing: .08em; text-transform: uppercase; color: var(--secondary); border-left: 3px solid var(--secondary); padding-left: .5rem; margin-bottom: .6rem; }</w:t>
        <w:br/>
        <w:t>.divider { height: 1px; background: var(--border); border: 0; margin: 1.2rem 0; }</w:t>
        <w:br/>
        <w:t>.quote-block { border-left: 4px solid var(--title); background: var(--light-bg); padding: 1rem 1.2rem; border-radius: var(--radius); color: var(--accent); font-style: italic; }</w:t>
        <w:br/>
        <w:t>.vs-row { display: grid; grid-template-columns: 1fr 1fr; gap: 1rem; }</w:t>
        <w:br/>
        <w:t>.vs-col { background: var(--card-bg); border: 1px solid var(--border); border-radius: var(--radius); padding: 1rem; }</w:t>
        <w:br/>
        <w:t>.card-grid { display: grid; gap: 1rem; }</w:t>
        <w:br/>
        <w:t>.card-grid.cols-2 { grid-template-columns: repeat(2, 1fr); }</w:t>
        <w:br/>
        <w:t>.card-grid.cols-3 { grid-template-columns: repeat(3, 1fr); }</w:t>
        <w:br/>
        <w:t>.card { background: var(--card-bg); border: 1px solid var(--border); border-radius: var(--radius); padding: 1rem 1.2rem; box-shadow: 0 1px 3px var(--hover-overlay); }</w:t>
        <w:br/>
        <w:t>.card h3 { color: var(--accent); margin-top: 0; }</w:t>
        <w:br/>
        <w:t>.steps { display: flex; flex-direction: column; gap: .6rem; }</w:t>
        <w:br/>
        <w:t>.steps .step { display: flex; gap: .8rem; align-items: flex-start; padding: .6rem .8rem; border: 1px solid var(--border); border-radius: var(--radius); background: var(--light-bg); }</w:t>
        <w:br/>
        <w:t>.steps .num { flex: 0 0 auto; width: 1.8rem; height: 1.8rem; border-radius: 50%; background: var(--title); color: var(--on-accent); display: grid; place-items: center; font-weight: 700; }</w:t>
        <w:br/>
        <w:t>.highlight-bar { background: var(--secondary); color: var(--on-accent); padding: .6rem 1rem; border-radius: var(--radius); font-weight: 600; }</w:t>
        <w:br/>
        <w:t>.bullet-list { margin: 0; padding-left: 1.2rem; }</w:t>
        <w:br/>
        <w:t>.bullet-list li { margin: .3rem 0; }</w:t>
        <w:br/>
        <w:t>.ipo-flow { display: flex; align-items: stretch; gap: .4rem; flex-wrap: wrap; }</w:t>
        <w:br/>
        <w:t>.ipo-flow .node { flex: 1 1 0; min-width: 7rem; background: var(--light-bg); border: 1px solid var(--border); border-radius: var(--radius); padding: .7rem; text-align: center; color: var(--accent); }</w:t>
        <w:br/>
        <w:t>.ipo-flow .arrow { display: grid; place-items: center; color: var(--secondary); font-weight: 700; }</w:t>
        <w:br/>
        <w:t>.data-table { width: 100%; border-collapse: collapse; font-size: .85rem; }</w:t>
        <w:br/>
        <w:t>.data-table th, .data-table td { border: 1px solid var(--border); padding: .5rem .7rem; text-align: left; }</w:t>
        <w:br/>
        <w:t>.data-table th { background: var(--light-bg); color: var(--title); }</w:t>
        <w:br/>
        <w:t>.data-table tr.best   td { background: var(--status-green-bg); }</w:t>
        <w:br/>
        <w:t>.data-table tr.second td { background: var(--light-bg); }</w:t>
        <w:br/>
        <w:t>.data-table tr.check  td:first-child { box-shadow: inset 3px 0 0 var(--status-green); }</w:t>
        <w:br/>
        <w:t>.data-table tr.cross  td:first-child { box-shadow: inset 3px 0 0 var(--status-red); }</w:t>
        <w:br/>
        <w:t>.fig-container { border: 1px dashed var(--border); border-radius: var(--radius); background: var(--light-bg); padding: 1rem; text-align: center; color: var(--secondary); }</w:t>
        <w:br/>
        <w:t>.fig-container .cap { font-size: .8rem; margin-top: .5rem; color: var(--text); }</w:t>
        <w:br/>
        <w:t>.end-card { width: 100%; height: 100%; display: grid; place-items: center; background: var(--accent); color: var(--on-accent); font-size: clamp(1.4rem, 3vw, 2.4rem); }</w:t>
        <w:br/>
        <w:br/>
        <w:t>/* ===================== 图表容器（Visualization Protocol） ===================== */</w:t>
        <w:br/>
        <w:t>.chart-line, .chart-radar, .chart-bar, .chart-pie, .chart-stacked-bar, .chart-scatter {</w:t>
        <w:br/>
        <w:t xml:space="preserve">  width: 100%; height: 100%; min-height: 12rem; background: var(--card-bg);</w:t>
        <w:br/>
        <w:t xml:space="preserve">  border: 1px solid var(--border); border-radius: var(--radius); padding: .6rem;</w:t>
        <w:br/>
        <w:t>}</w:t>
        <w:br/>
        <w:t>.chart-line svg, .chart-radar svg, .chart-bar svg, .chart-pie svg, .chart-stacked-bar svg, .chart-scatter svg { width: 100%; height: 100%; }</w:t>
        <w:br/>
        <w:br/>
        <w:t>/* mermaid-host — 关系图 slide：让 mermaid SVG 填满整张 16:9 slide（不再居中小图） */</w:t>
        <w:br/>
        <w:t>.mermaid-host { flex: 1 1 auto; width: 100%; height: 100%; min-height: 0; display: flex; align-items: center; justify-content: center; overflow: hidden; }</w:t>
        <w:br/>
        <w:t>.mermaid-host .mermaid { width: 100%; height: 100%; display: flex; align-items: center; justify-content: center; }</w:t>
        <w:br/>
        <w:t>.mermaid-host svg { width: 100% !important; height: 100% !important; max-width: none !important; }</w:t>
        <w:br/>
        <w:br/>
        <w:t>/* ===================== Companion 新增组件（frozen） ===================== */</w:t>
        <w:br/>
        <w:t>.status-badge { display: inline-flex; align-items: center; gap: .4rem; padding: .25rem .7rem; border-radius: 999px; font-size: .8rem; font-weight: 700; border: 1px solid transparent; }</w:t>
        <w:br/>
        <w:t>.status-badge::before { content: ""; width: .6rem; height: .6rem; border-radius: 50%; background: currentColor; }</w:t>
        <w:br/>
        <w:t>.status-badge--green  { color: var(--status-green);  background: var(--status-green-bg); }</w:t>
        <w:br/>
        <w:t>.status-badge--yellow { color: var(--status-yellow); background: var(--status-yellow-bg); }</w:t>
        <w:br/>
        <w:t>.status-badge--red    { color: var(--status-red);    background: var(--status-red-bg); }</w:t>
        <w:br/>
        <w:t>.status-badge--neutral{ color: var(--status-neutral);background: var(--status-neutral-bg); }</w:t>
        <w:br/>
        <w:t>.status-summary { display: flex; align-items: center; gap: 1rem; flex-wrap: wrap; margin: .8rem 0; }</w:t>
        <w:br/>
        <w:t>.status-summary .overall { transform: scale(1.15); }</w:t>
        <w:br/>
        <w:t>.status-summary .breakdown { display: flex; gap: .5rem; flex-wrap: wrap; }</w:t>
        <w:br/>
        <w:t>.ai-insight { border-left: 4px solid var(--ai-cyan); background: var(--ai-cyan-bg); border-radius: var(--radius); padding: .8rem 1rem; margin: .4rem 0; color: var(--accent); }</w:t>
        <w:br/>
        <w:t>.ai-insight .tag { display: inline-block; font-size: .7rem; font-weight: 700; letter-spacing: .05em; color: var(--ai-cyan); text-transform: uppercase; margin-bottom: .3rem; }</w:t>
        <w:br/>
        <w:t>.citation-ref { color: var(--secondary); font-size: .7em; vertical-align: super; cursor: pointer; text-decoration: none; padding: 0 .1em; }</w:t>
        <w:br/>
        <w:t>.contradiction-block { border: 1px solid var(--border); border-top: 3px solid var(--status-red); border-radius: var(--radius); padding: 1rem; background: var(--card-bg); }</w:t>
        <w:br/>
        <w:t>.contradiction-block .label { display: inline-block; color: var(--status-red); font-weight: 700; font-size: .8rem; margin-bottom: .6rem; }</w:t>
        <w:br/>
        <w:t>.contradiction-block .vs-row { gap: 1rem; }</w:t>
        <w:br/>
        <w:t>.data-registry { width: 100%; border-collapse: collapse; font-size: .78rem; }</w:t>
        <w:br/>
        <w:t>.data-registry th, .data-registry td { border: 1px solid var(--border); padding: .4rem .6rem; text-align: left; vertical-align: top; }</w:t>
        <w:br/>
        <w:t>.data-registry th { background: var(--light-bg); color: var(--title); position: sticky; top: 0; }</w:t>
        <w:br/>
        <w:t>.data-registry .s-green  { color: var(--status-green); font-weight: 700; }</w:t>
        <w:br/>
        <w:t>.data-registry .s-yellow { color: var(--status-yellow); font-weight: 700; }</w:t>
        <w:br/>
        <w:t>.data-registry .s-red    { color: var(--status-red); font-weight: 700; }</w:t>
        <w:br/>
        <w:t>.data-registry .s-na     { color: var(--status-neutral); }</w:t>
        <w:br/>
        <w:t>.reference-list { columns: 2; column-gap: 2rem; font-size: .8rem; }</w:t>
        <w:br/>
        <w:t>.reference-list .ref { break-inside: avoid; margin-bottom: .4rem; }</w:t>
        <w:br/>
        <w:t>.reference-list .ref b { color: var(--title); }</w:t>
        <w:br/>
        <w:t>.overview-card { border: 1px solid var(--border); border-left: 4px solid var(--title); border-radius: var(--radius); background: var(--light-bg); padding: .8rem 1rem; margin: 0 0 .4rem; font-size: .95rem; color: var(--accent); }</w:t>
        <w:br/>
        <w:t>.overview-card .one-liner { font-size: 1.05rem; font-weight: 600; color: var(--accent); margin-bottom: .3rem; }</w:t>
        <w:br/>
        <w:t>.overview-card b { color: var(--title); }</w:t>
        <w:br/>
        <w:t>.density-grid { display: grid; gap: .8rem; }</w:t>
        <w:br/>
        <w:t>.density-grid.cols-2 { grid-template-columns: repeat(2, 1fr); }</w:t>
        <w:br/>
        <w:t>.density-grid.cols-3 { grid-template-columns: repeat(3, 1fr); }</w:t>
        <w:br/>
        <w:t>.compact-ref-strip { border-top: 1px solid var(--border); padding: .4rem .8rem; font-size: .72rem; color: var(--secondary); background: var(--light-bg); }</w:t>
        <w:br/>
        <w:br/>
        <w:t>/* ===================== Animation ===================== */</w:t>
        <w:br/>
        <w:t>.anim { animation: fadeUp .5s ease both; }</w:t>
        <w:br/>
        <w:t>@keyframes fadeUp { from { opacity: 0; transform: translateY(12px); } to { opacity: 1; transform: none; } }</w:t>
        <w:br/>
        <w:t>.slide.active .anim:nth-child(1) { animation-delay: 0s; }</w:t>
        <w:br/>
        <w:t>.slide.active .anim:nth-child(2) { animation-delay: .07s; }</w:t>
        <w:br/>
        <w:t>.slide.active .anim:nth-child(3) { animation-delay: .14s; }</w:t>
        <w:br/>
        <w:t>.slide.active .anim:nth-child(4) { animation-delay: .21s; }</w:t>
        <w:br/>
        <w:t>.slide.active .anim:nth-child(5) { animation-delay: .28s; }</w:t>
        <w:br/>
        <w:t>.slide.active .anim:nth-child(n+6) { animation-delay: .35s; }</w:t>
        <w:br/>
        <w:br/>
        <w:t>@media (max-width: 900px) {</w:t>
        <w:br/>
        <w:t xml:space="preserve">  .card-grid.cols-3, .density-grid.cols-3 { grid-template-columns: repeat(2, 1fr); }</w:t>
        <w:br/>
        <w:t xml:space="preserve">  .vs-row { grid-template-columns: 1fr; }</w:t>
        <w:br/>
        <w:t>}</w:t>
        <w:br/>
        <w:t>&lt;/style&gt;</w:t>
      </w:r>
    </w:p>
    <w:p>
      <w:pPr>
        <w:pStyle w:val="Heading2"/>
      </w:pPr>
      <w:r>
        <w:t>逐字模板 — 脚本（复制进产出物 &lt;script&gt;）</w:t>
      </w:r>
    </w:p>
    <w:p>
      <w:r>
        <w:t>&lt;!-- mermaid 初始化：useMaxWidth:false 让关系图填满 slide，不缩成居中小图 --&gt;</w:t>
        <w:br/>
        <w:t>&lt;script&gt;</w:t>
        <w:br/>
        <w:t xml:space="preserve">  mermaid.initialize({ startOnLoad: true, theme: "neutral", securityLevel: "loose",</w:t>
        <w:br/>
        <w:t xml:space="preserve">    flowchart: { useMaxWidth: false, htmlLabels: true } });</w:t>
        <w:br/>
        <w:t>&lt;/script&gt;</w:t>
        <w:br/>
        <w:t>&lt;!-- deck navigation：左右方向键 / 屏角按钮 / 页码 + 进度条 --&gt;</w:t>
        <w:br/>
        <w:t>&lt;script&gt;</w:t>
        <w:br/>
        <w:t>(function () {</w:t>
        <w:br/>
        <w:t xml:space="preserve">  var slides = Array.prototype.slice.call(document.querySelectorAll(".deck .slide"));</w:t>
        <w:br/>
        <w:t xml:space="preserve">  var i = 0;</w:t>
        <w:br/>
        <w:t xml:space="preserve">  var counter = document.querySelector(".deck-nav .counter");</w:t>
        <w:br/>
        <w:t xml:space="preserve">  var bar = document.querySelector(".deck-progress");</w:t>
        <w:br/>
        <w:t xml:space="preserve">  function show(n) {</w:t>
        <w:br/>
        <w:t xml:space="preserve">    i = Math.max(0, Math.min(slides.length - 1, n));</w:t>
        <w:br/>
        <w:t xml:space="preserve">    slides.forEach(function (s, k) { s.classList.toggle("active", k === i); });</w:t>
        <w:br/>
        <w:t xml:space="preserve">    if (counter) counter.textContent = (i + 1) + " / " + slides.length;</w:t>
        <w:br/>
        <w:t xml:space="preserve">    if (bar) bar.style.width = ((i + 1) / slides.length * 100) + "%";</w:t>
        <w:br/>
        <w:t xml:space="preserve">  }</w:t>
        <w:br/>
        <w:t xml:space="preserve">  document.addEventListener("keydown", function (e) {</w:t>
        <w:br/>
        <w:t xml:space="preserve">    if (e.key === "ArrowRight" || e.key === "PageDown") show(i + 1);</w:t>
        <w:br/>
        <w:t xml:space="preserve">    if (e.key === "ArrowLeft"  || e.key === "PageUp")   show(i - 1);</w:t>
        <w:br/>
        <w:t xml:space="preserve">  });</w:t>
        <w:br/>
        <w:t xml:space="preserve">  var nx = document.querySelector(".deck-nav .next");</w:t>
        <w:br/>
        <w:t xml:space="preserve">  var pv = document.querySelector(".deck-nav .prev");</w:t>
        <w:br/>
        <w:t xml:space="preserve">  if (nx) nx.addEventListener("click", function () { show(i + 1); });</w:t>
        <w:br/>
        <w:t xml:space="preserve">  if (pv) pv.addEventListener("click", function () { show(i - 1); });</w:t>
        <w:br/>
        <w:t xml:space="preserve">  show(0);</w:t>
        <w:br/>
        <w:t>})();</w:t>
        <w:br/>
        <w:t>&lt;/script&gt;</w:t>
      </w:r>
    </w:p>
    <w:p>
      <w:pPr>
        <w:pStyle w:val="Heading2"/>
      </w:pPr>
      <w:r>
        <w:t>用法示例（16:9 slide deck，全英文）</w:t>
      </w:r>
    </w:p>
    <w:p>
      <w:r>
        <w:t>&lt;!-- 16:9 slide deck: Cover -&gt; Relationship Map -&gt; Narrative Arc -&gt; Onepage -&gt; Supplementary -&gt; References --&gt;&lt;div class="deck"&gt;  &lt;!-- 1. Cover --&gt;  &lt;section class="slide cover active"&gt;    &lt;h1 class="anim"&gt;Project Synthesis&lt;/h1&gt;    &lt;div class="sub anim"&gt;PROJ-001 · CLINS / FE / CE&lt;/div&gt;    &lt;div class="meta anim"&gt;&lt;b&gt;Target:&lt;/b&gt; 897249 XX · &lt;b&gt;Generated:&lt;/b&gt; 2026-07-23&lt;/div&gt;  &lt;/section&gt;  &lt;!-- 2. Relationship Map (S3): mermaid fills the whole 16:9 slide --&gt;  &lt;section class="slide"&gt;    &lt;div class="slide-label"&gt;Relationship Map (S3)&lt;/div&gt;    &lt;div class="mermaid-host" style="height:100%"&gt;&lt;pre class="mermaid"&gt;      graph TD        A[Target 897249 XX] --&gt; B[Efficacy CLINS]        A --&gt; C[Sensory FE]        A --&gt; D[Consumer CE]    &lt;/pre&gt;&lt;/div&gt;  &lt;/section&gt;  &lt;!-- 3. Narrative Arc (S4): mermaid fills the whole 16:9 slide --&gt;  &lt;section class="slide"&gt;    &lt;div class="slide-label"&gt;Narrative Arc (S4)&lt;/div&gt;    &lt;div class="mermaid-host" style="height:100%"&gt;&lt;pre class="mermaid"&gt;      journey  title Project Narrative Arc        Background: 1: Target X        Validation: 2: Efficacy confirmed        Tension: 3: Sensory conflict        Resolution: 4: Reformulation path    &lt;/pre&gt;&lt;/div&gt;  &lt;/section&gt;  &lt;!-- 3. Onepage presentation: DENSE multi-block, single 16:9 slide, NO scroll, NO whitespace --&gt;  &lt;section class="slide onepage"&gt;    &lt;div class="slide-head"&gt;&lt;h2&gt;Executive Presentation&lt;/h2&gt;&lt;/div&gt;    &lt;div class="sections"&gt;      &lt;!-- (0) overview — top, full width, compact --&gt;      &lt;div class="overview-card anim"&gt;&lt;div class="one-liner"&gt;Target shows strong efficacy but weak dispensing.&lt;/div&gt;&lt;b&gt;Target:&lt;/b&gt; 897249 XX · &lt;b&gt;Coverage:&lt;/b&gt; CLINS / FE / CE · &lt;b&gt;Verdict:&lt;/b&gt; Overall Red&lt;/div&gt;      &lt;!-- body: 2-column dense grid carrying blocks (1)-(6) --&gt;      &lt;div class="density-grid cols-2" style="gap:.6rem"&gt;        &lt;div class="anim"&gt;&lt;div class="slide-label"&gt;Theme &amp;amp; Signal Coverage&lt;/div&gt;          &lt;div class="card-grid cols-3"&gt;            &lt;div class="card"&gt;&lt;h3&gt;CLINS&lt;/h3&gt;Yellowness fix · Hydration &lt;span class="citation-ref"&gt;[7]&lt;/span&gt;&lt;/div&gt;            &lt;div class="card"&gt;&lt;h3&gt;FE&lt;/h3&gt;Dispensing ease &lt;span class="citation-ref"&gt;[12]&lt;/span&gt;&lt;/div&gt;            &lt;div class="card"&gt;&lt;h3&gt;CE&lt;/h3&gt;Long-term satisfaction &lt;span class="citation-ref"&gt;[35]&lt;/span&gt;&lt;/div&gt;          &lt;/div&gt;&lt;/div&gt;        &lt;div class="anim"&gt;&lt;div class="slide-label"&gt;Key Metric Highlights&lt;/div&gt;          &lt;div class="card-grid cols-3"&gt;            &lt;div class="card"&gt;Hydration &lt;b&gt;+18.2%&lt;/b&gt; &lt;span class="status-badge status-badge--green"&gt;Green&lt;/span&gt; &lt;span class="citation-ref"&gt;[7]&lt;/span&gt;&lt;/div&gt;            &lt;div class="card"&gt;Yellowness a* &lt;b&gt;-2.3&lt;/b&gt; &lt;span class="status-badge status-badge--green"&gt;Green&lt;/span&gt; &lt;span class="citation-ref"&gt;[7]&lt;/span&gt;&lt;/div&gt;            &lt;div class="card"&gt;Liking &lt;b&gt;4.1/5&lt;/b&gt; &lt;span class="status-badge status-badge--yellow"&gt;Yellow&lt;/span&gt; &lt;span class="citation-ref"&gt;[35]&lt;/span&gt;&lt;/div&gt;          &lt;/div&gt;&lt;/div&gt;        &lt;div class="anim"&gt;&lt;div class="slide-label"&gt;Target vs Comparator&lt;/div&gt;          &lt;div class="vs-row"&gt;            &lt;div class="vs-col"&gt;&lt;b&gt;Target 897249 XX&lt;/b&gt;&lt;br&gt;Hydration +18.2% &lt;span class="citation-ref"&gt;[7]&lt;/span&gt;&lt;/div&gt;            &lt;div class="vs-col"&gt;&lt;b&gt;Comparator 884512 YY&lt;/b&gt;&lt;br&gt;Hydration +12.0% &lt;span class="citation-ref"&gt;[7]&lt;/span&gt;&lt;/div&gt;          &lt;/div&gt;&lt;/div&gt;        &lt;div class="anim"&gt;&lt;div class="slide-label"&gt;Contradictions&lt;/div&gt;          &lt;div class="contradiction-block"&gt;&lt;span class="label"&gt;&amp;#9888; Contradiction&lt;/span&gt;            &lt;div class="vs-row"&gt;&lt;div class="vs-col"&gt;FE: strong instant sensory &lt;span class="citation-ref"&gt;[12]&lt;/span&gt;&lt;/div&gt;            &lt;div class="vs-col"&gt;CE: low long-term satisfaction &lt;span class="citation-ref"&gt;[35]&lt;/span&gt;&lt;/div&gt;&lt;/div&gt;          &lt;/div&gt;&lt;/div&gt;        &lt;div class="anim"&gt;&lt;div class="slide-label"&gt;Risk Rating&lt;/div&gt;          &lt;div class="status-summary"&gt;&lt;span class="status-badge status-badge--red overall"&gt;Overall&lt;/span&gt;            &lt;span class="breakdown"&gt;&lt;span class="status-badge status-badge--green"&gt;CLINS&lt;/span&gt;            &lt;span class="status-badge status-badge--yellow"&gt;FE&lt;/span&gt;            &lt;span class="status-badge status-badge--red"&gt;CE&lt;/span&gt;&lt;/span&gt;&lt;/div&gt;&lt;/div&gt;        &lt;div class="anim"&gt;&lt;div class="slide-label"&gt;Compact Data Snapshot&lt;/div&gt;          &lt;table class="data-table"&gt;&lt;thead&gt;&lt;tr&gt;&lt;th&gt;Subject&lt;/th&gt;&lt;th&gt;Metric&lt;/th&gt;&lt;th&gt;Value&lt;/th&gt;&lt;th&gt;Status&lt;/th&gt;&lt;/tr&gt;&lt;/thead&gt;            &lt;tbody&gt;&lt;tr class="check"&gt;&lt;td&gt;897249 XX&lt;/td&gt;&lt;td&gt;Hydration&lt;/td&gt;&lt;td&gt;+18.2%&lt;/td&gt;&lt;td&gt;Green&lt;/td&gt;&lt;/tr&gt;            &lt;tr class="cross"&gt;&lt;td&gt;897249 XX&lt;/td&gt;&lt;td&gt;Long-term liking&lt;/td&gt;&lt;td&gt;4.1/5&lt;/td&gt;&lt;td&gt;Yellow&lt;/td&gt;&lt;/tr&gt;&lt;/tbody&gt;&lt;/table&gt;&lt;/div&gt;      &lt;/div&gt;      &lt;!-- (7) insight — bottom strip --&gt;      &lt;div class="ai-insight anim"&gt;&lt;span class="tag"&gt;AI Insight&lt;/span&gt;Weak dispensing may mask true efficacy; prioritize applicator redesign before reformulation.&lt;/div&gt;    &lt;/div&gt;  &lt;/section&gt;  &lt;!-- 4. Supplementary Information: exhaustive registry (scrolls if needed) --&gt;  &lt;section class="slide supp"&gt;    &lt;div class="slide-head"&gt;&lt;h2&gt;Supplementary Information&lt;/h2&gt;&lt;/div&gt;    &lt;div class="sections"&gt;&lt;table class="data-registry"&gt;      &lt;thead&gt;&lt;tr&gt;&lt;th&gt;#&lt;/th&gt;&lt;th&gt;Subject&lt;/th&gt;&lt;th&gt;Fact / Metric&lt;/th&gt;&lt;th&gt;Status&lt;/th&gt;&lt;th&gt;Src&lt;/th&gt;&lt;/tr&gt;&lt;/thead&gt;      &lt;tbody&gt;&lt;tr&gt;&lt;td&gt;1&lt;/td&gt;&lt;td&gt;897249 XX&lt;/td&gt;&lt;td&gt;Skin hydration +18.2%&lt;/td&gt;&lt;td class="s-green"&gt;Green&lt;/td&gt;&lt;td&gt;[7]&lt;/td&gt;&lt;/tr&gt;&lt;/tbody&gt;    &lt;/table&gt;&lt;/div&gt;  &lt;/section&gt;  &lt;!-- 5. Data reference list --&gt;  &lt;section class="slide"&gt;    &lt;div class="slide-head"&gt;&lt;h2&gt;References&lt;/h2&gt;&lt;/div&gt;    &lt;div class="sections"&gt;&lt;div class="reference-list"&gt;      &lt;div class="ref"&gt;&lt;b&gt;[7]&lt;/b&gt; data/CLINS/report.pdf — Page 7&lt;/div&gt;    &lt;/div&gt;&lt;/div&gt;  &lt;/section&gt;&lt;/div&gt;&lt;div class="deck-progress"&gt;&lt;/div&gt;&lt;nav class="deck-nav"&gt;&lt;button class="prev"&gt;&amp;#8249;&lt;/button&gt;&lt;span class="counter"&gt;1 / 5&lt;/span&gt;&lt;button class="next"&gt;&amp;#8250;&lt;/button&gt;&lt;/nav&gt;
</w:t>
      </w:r>
    </w:p>
    <w:p>
      <w:pPr>
        <w:pStyle w:val="Heading1"/>
      </w:pPr>
      <w:r>
        <w:t>Visualization Protocol</w:t>
      </w:r>
    </w:p>
    <w:p>
      <w:r>
        <w:t>本文件是 AI 综合重建图表的方法参考。</w:t>
      </w:r>
    </w:p>
    <w:p>
      <w:pPr>
        <w:pStyle w:val="Heading2"/>
      </w:pPr>
      <w:r>
        <w:t>适用边界</w:t>
      </w:r>
    </w:p>
    <w:p>
      <w:r>
        <w:t>本协议适用于以下情形的图表：AI 基于 Data Extraction Registry 中的结构化记录，自行综合 / 重建生成的图表（例如跨主体对比图、跨证据类型的趋势归纳图）——这类图表在原始材料的任何单一页面中都不存在，是本次综合报告的原创产出。</w:t>
      </w:r>
    </w:p>
    <w:p>
      <w:r>
        <w:t>图表的创建自由选择 Chart.js, D3.js。</w:t>
      </w:r>
    </w:p>
    <w:p>
      <w:r>
        <w:t>边界判定与互斥规则：本任务不再从源 PDF 裁剪原图——所有图表要么是 AI 依据 Registry 重建的 chart-*（本协议），要么直接渲染分析轮 S3 产出的 mermaid 关系图（填满整张 16:9 slide）。</w:t>
      </w:r>
    </w:p>
    <w:p>
      <w:pPr>
        <w:pStyle w:val="Heading2"/>
      </w:pPr>
      <w:r>
        <w:t>支持的图表类型（固定组件族）</w:t>
      </w:r>
    </w:p>
    <w:p>
      <w:pPr>
        <w:pStyle w:val="ListBullet"/>
      </w:pPr>
      <w:r>
        <w:t>chart-line —— 顺序性 / 时间序列 / 阶段性数据（如不同使用阶段的满意度变化）。</w:t>
      </w:r>
    </w:p>
    <w:p>
      <w:pPr>
        <w:pStyle w:val="ListBullet"/>
      </w:pPr>
      <w:r>
        <w:t>chart-radar —— 多维度画像对比（如感官属性图谱）。</w:t>
      </w:r>
    </w:p>
    <w:p>
      <w:pPr>
        <w:pStyle w:val="ListBullet"/>
      </w:pPr>
      <w:r>
        <w:t>chart-bar —— 跨组别 / 跨对象的分类对比。</w:t>
      </w:r>
    </w:p>
    <w:p>
      <w:pPr>
        <w:pStyle w:val="ListBullet"/>
      </w:pPr>
      <w:r>
        <w:t>chart-pie / chart-stacked-bar —— 构成占比或百分比拆解。</w:t>
      </w:r>
    </w:p>
    <w:p>
      <w:pPr>
        <w:pStyle w:val="ListBullet"/>
      </w:pPr>
      <w:r>
        <w:t>chart-scatter —— 两变量间的相关性（仅当原始数据确为真实的双变量定量数据时才适用）。</w:t>
      </w:r>
    </w:p>
    <w:p>
      <w:r>
        <w:t>图表类型的选择匹配数据本身的性质（不把序数数据强行套进雷达图，也不把分类对比数据强行套进折线图）。</w:t>
      </w:r>
    </w:p>
    <w:p>
      <w:pPr>
        <w:pStyle w:val="Heading2"/>
      </w:pPr>
      <w:r>
        <w:t>唯一事实来源</w:t>
      </w:r>
    </w:p>
    <w:p>
      <w:r>
        <w:t>每一张图表完全基于 Extracted Data Registry 中已存在的记录构建。仅凭对截图的"视觉印象"绘制图表而没有对应的 Registry 记录支撑，会造成叙述内容、数据表格与图表三者之间的不一致。</w:t>
      </w:r>
    </w:p>
    <w:p>
      <w:r>
        <w:t>若图表涉及跨主体对比，图表中每个系列 / 数据点能追溯到明确的所属主体，不同主体的数据不在图表中模糊混同。</w:t>
      </w:r>
    </w:p>
    <w:p>
      <w:pPr>
        <w:pStyle w:val="Heading2"/>
      </w:pPr>
      <w:r>
        <w:t>序数映射约定（针对非数值型源数据）</w:t>
      </w:r>
    </w:p>
    <w:p>
      <w:r>
        <w:t>源材料有时只用定性等级表达某项指标（如"好 / 中 / 差""高 / 中 / 低"），没有明确数值分数。要将此类数据图表化：</w:t>
      </w:r>
    </w:p>
    <w:p>
      <w:r>
        <w:t>1. 内部为绘图目的分配一套一致的序数数值刻度（例如 好=1、中=0、差=-1，或适配等级数量的等价有序刻度）。</w:t>
      </w:r>
    </w:p>
    <w:p>
      <w:r>
        <w:t>2. 该内部数值映射不对外展示、标注或引用——它只是私有的绘图机制，不是一项发现。</w:t>
      </w:r>
    </w:p>
    <w:p>
      <w:r>
        <w:t>3. 所有可见标签（坐标轴刻度、图例、数据点标注文字）使用原始材料中出现的原始定性用词的**英文表述**，不显示内部数值替代品。</w:t>
      </w:r>
    </w:p>
    <w:p>
      <w:r>
        <w:t>4. 同一张图表内，相同的定性用词始终映射到相同的内部数值（保持该图表内部所有数据系列的映射一致性）。</w:t>
      </w:r>
    </w:p>
    <w:p>
      <w:pPr>
        <w:pStyle w:val="Heading2"/>
      </w:pPr>
      <w:r>
        <w:t>近似重建规则</w:t>
      </w:r>
    </w:p>
    <w:p>
      <w:r>
        <w:t>当某张源图表的精确数值无法被有把握地读取时（截图模糊、坐标线含糊、无明确数据标注）：</w:t>
      </w:r>
    </w:p>
    <w:p>
      <w:r>
        <w:t>1. 尽可能依据视觉观察还原图表的形状 / 趋势走向。</w:t>
      </w:r>
    </w:p>
    <w:p>
      <w:r>
        <w:t>2. 在图表上或附近添加一条明显的英文标注："≈ Approximate reconstruction — see source [N] for exact values."</w:t>
      </w:r>
    </w:p>
    <w:p>
      <w:r>
        <w:t>3. 不营造虚假的精确感（例如不画出暗示精确度的网格线 / 小数刻度，而实际并不具备这种精确度）。</w:t>
      </w:r>
    </w:p>
    <w:p>
      <w:pPr>
        <w:pStyle w:val="Heading2"/>
      </w:pPr>
      <w:r>
        <w:t>视觉一致性</w:t>
      </w:r>
    </w:p>
    <w:p>
      <w:r>
        <w:t>所有图表颜色（线条、柱状、填充、数据点）通过既有 Design Tokens 解析（绿 / 黄 / 红编码系列使用状态色 token，中性系列使用 --title / --accent / --secondary）。图表不引入 token 集合之外的自定义颜色。</w:t>
      </w:r>
    </w:p>
    <w:p>
      <w:r>
        <w:t>所有图表 SVG 使用响应式 viewBox（固定像素宽高禁用），以便在 card / card-grid 容器内正确缩放。mermaid 关系图另设 useMaxWidth:false 以填满整张 slide（见 mermaid-host）。</w:t>
      </w:r>
    </w:p>
    <w:p>
      <w:pPr>
        <w:pStyle w:val="Heading1"/>
      </w:pPr>
      <w:r>
        <w:t>Constraints &amp; Checks — 产出属性参考</w:t>
      </w:r>
    </w:p>
    <w:p>
      <w:r>
        <w:t>本文件描述一份合规产出物具备的反漂移属性与可核对的产出属性清单。它是一份参考核对表，不含指令。</w:t>
      </w:r>
    </w:p>
    <w:p>
      <w:pPr>
        <w:pStyle w:val="Heading2"/>
      </w:pPr>
      <w:r>
        <w:t>反漂移属性（Valid Output Properties）</w:t>
      </w:r>
    </w:p>
    <w:p>
      <w:r>
        <w:t>一份合规产出物表现出以下属性：</w:t>
      </w:r>
    </w:p>
    <w:p>
      <w:pPr>
        <w:pStyle w:val="ListBullet"/>
      </w:pPr>
      <w:r>
        <w:t>产出物是一份可横向翻页的 16:9 幻灯片 deck（deck 容器 + 六张 slide + navigation：方向键 / 屏角按钮 / 页码 / 进度条），而非长文档裁屏或单页 dashboard。</w:t>
      </w:r>
    </w:p>
    <w:p>
      <w:pPr>
        <w:pStyle w:val="ListBullet"/>
      </w:pPr>
      <w:r>
        <w:t>最终 HTML 的一切文字（UI 标签与正文内容）为英文；配方号、专有名词、[N] 引用原样保留。</w:t>
      </w:r>
    </w:p>
    <w:p>
      <w:pPr>
        <w:pStyle w:val="ListBullet"/>
      </w:pPr>
      <w:r>
        <w:t>Component Vocabulary 代码块（CSS / JS，含 deck 骨架与 navigation 脚本）为冻结常量——原样输出，不"优化""简化"或"重构"。</w:t>
      </w:r>
    </w:p>
    <w:p>
      <w:pPr>
        <w:pStyle w:val="ListBullet"/>
      </w:pPr>
      <w:r>
        <w:t>Design Tokens 为固定值——仅当用户明确要求更换配色方案时才调整数值，不重新组织 token 命名结构。</w:t>
      </w:r>
    </w:p>
    <w:p>
      <w:pPr>
        <w:pStyle w:val="ListBullet"/>
      </w:pPr>
      <w:r>
        <w:t>HTML 中使用的 class 限于 Component Vocabulary 白名单（含 deck / slide / slide.cover|onepage|supp / deck-nav / deck-progress / slide-head / sections）。</w:t>
      </w:r>
    </w:p>
    <w:p>
      <w:pPr>
        <w:pStyle w:val="ListBullet"/>
      </w:pPr>
      <w:r>
        <w:t>引用不被跳过，Reference List 不被跳过，已计算出的评级颜色不被擅自覆盖（见 worst-of-N 算法）。</w:t>
      </w:r>
    </w:p>
    <w:p>
      <w:pPr>
        <w:pStyle w:val="ListBullet"/>
      </w:pPr>
      <w:r>
        <w:t>Design Tokens 中的十六进制色值为字面值、最终值，逐字符使用；不发明、"改进"或替换成其他色值（含切换为深色主题配色）。若更换主题，仅修改 Design Token 的具体数值，周围 CSS 结构与变量命名保持完全一致。</w:t>
      </w:r>
    </w:p>
    <w:p>
      <w:pPr>
        <w:pStyle w:val="ListBullet"/>
      </w:pPr>
      <w:r>
        <w:t>输出的 CSS 或行内样式中，任何位置都不出现裸的十六进制色值、rgb() 或 rgba()——每一处颜色引用均通过 var(--token-name) 解析。若确需透明度效果，在 :root 中新增具名 token，而非在组件规则内硬编码。</w:t>
      </w:r>
    </w:p>
    <w:p>
      <w:pPr>
        <w:pStyle w:val="ListBullet"/>
      </w:pPr>
      <w:r>
        <w:t>mermaid 关系图与叙事弧图各为独立整页 slide：S3 结构层级图填满第 2 页（Relationship Map）、S4 叙事弧图填满第 3 页（Narrative Arc），均 useMaxWidth:false、SVG width/height:100%、max-width:none，不渲染成居中小图。</w:t>
      </w:r>
    </w:p>
    <w:p>
      <w:pPr>
        <w:pStyle w:val="ListBullet"/>
      </w:pPr>
      <w:r>
        <w:t>onepage 演示页以高密度、多板块综合演示（由 S4 叙事主轴框定讲述逻辑），板块分明、叙事逻辑清晰，单屏 16:9 内不留白、不出现内部滚动，并**承载提取轮的精确数字**（数值 + 单位，不四舍五入）；仅无法纳入单屏的逐条全量记录才下沉到补充信息页穷尽呈现。</w:t>
      </w:r>
    </w:p>
    <w:p>
      <w:pPr>
        <w:pStyle w:val="ListBullet"/>
      </w:pPr>
      <w:r>
        <w:t>若某个 type 被判定为 Unrated，其展示形式为 status-badge--neutral，不推断为绿 / 黄 / 红中的任意一种。</w:t>
      </w:r>
    </w:p>
    <w:p>
      <w:pPr>
        <w:pStyle w:val="ListBullet"/>
      </w:pPr>
      <w:r>
        <w:t>评级计算按主体独立进行，不同主体的 worst-of-N 结果不合并、平均或相互影响。</w:t>
      </w:r>
    </w:p>
    <w:p>
      <w:pPr>
        <w:pStyle w:val="Heading2"/>
      </w:pPr>
      <w:r>
        <w:t>产出属性核对清单（Pre-Delivery Check）</w:t>
      </w:r>
    </w:p>
    <w:p>
      <w:r>
        <w:t>交付最终产出物前，可逐项核对以下属性：</w:t>
      </w:r>
    </w:p>
    <w:p>
      <w:r>
        <w:t>1. 产出为 16:9 slide deck：六张 slide 齐备（Cover / Relationship Map / Narrative Arc / Onepage / Supplementary / References），navigation 可用（方向键 + 按钮 + 页码 + 进度条），body 锁单屏。</w:t>
      </w:r>
    </w:p>
    <w:p>
      <w:r>
        <w:t>2. 全部文字为英文（UI + 内容）；配方号 / 专有名词 / [N] 原样保留。</w:t>
      </w:r>
    </w:p>
    <w:p>
      <w:r>
        <w:t>3. 每一条事实 / 状态陈述都带有一个 [N] 引用，且该引用存在于输入材料中并出现在 References / compact-ref-strip 里——无孤立或编造引用。</w:t>
      </w:r>
    </w:p>
    <w:p>
      <w:r>
        <w:t>4. 每一条数值 / 状态陈述在 Extracted Data Registry 中都有对应记录。</w:t>
      </w:r>
    </w:p>
    <w:p>
      <w:r>
        <w:t>5. Extracted Data Registry 相对于输入材料的定量内容而言是穷尽的：onepage 演示页以高密度多板块综合演示承载主要高信号内容、**精确数字**与紧凑数据快照（数值不四舍五入），其余逐条全量记录完整呈现在补充信息页（超屏则该 slide 内部纵向滚动），不丢任何记录；且 onepage 板块由 S4 叙事主轴与故事节拍框定讲述逻辑，第 3 页（Narrative Arc）为 S4 叙事弧图。</w:t>
      </w:r>
    </w:p>
    <w:p>
      <w:r>
        <w:t>6. 关系图与叙事弧图各为独立整页 slide：S3 结构图填满第 2 页、S4 叙事弧图填满第 3 页，均 useMaxWidth:false、SVG 100%、max-width:none，不居中缩小。</w:t>
      </w:r>
    </w:p>
    <w:p>
      <w:r>
        <w:t>7. 每条记录、每处评级展示都明确标注所属主体，且不同主体的评级未被合并、平均或相互影响。</w:t>
      </w:r>
    </w:p>
    <w:p>
      <w:r>
        <w:t>8. 整体评级颜色与 worst-of-N 算法计算结果完全一致；如有 nuance，仅通过 ai-insight 表达，不通过更改徽章颜色表达。</w:t>
      </w:r>
    </w:p>
    <w:p>
      <w:r>
        <w:t>9. 青色仅用于 AI 原创解读；绿 / 黄 / 红仅用于提取 / 计算得出的状态。</w:t>
      </w:r>
    </w:p>
    <w:p>
      <w:r>
        <w:t>10. 任何所有子指标状态均为 N/A 的 type，均渲染为"Unrated"（status-badge--neutral），且已从 worst-of-N 计算中排除。</w:t>
      </w:r>
    </w:p>
    <w:p>
      <w:r>
        <w:t>11. 每张图表都能追溯到 Data Registry 中的记录——无仅凭视觉印象绘制的图表；内部序数映射从未对外显示；近似重建的图表都带有规定的英文标注说明。</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