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FA10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比特币后端服务需求文档</w:t>
      </w:r>
    </w:p>
    <w:p w14:paraId="56D424F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D5E9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开发一套比特币后端服务，负责比特币地址管理、区块扫描、资产充提、内部归集等核心业务功能，确保资产安全、数据准确、流程可靠。</w:t>
      </w:r>
    </w:p>
    <w:p w14:paraId="07A19A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89602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二、地址管理需求</w:t>
      </w:r>
      <w:bookmarkEnd w:id="1"/>
    </w:p>
    <w:p w14:paraId="667C8C8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根地址管理</w:t>
      </w:r>
      <w:bookmarkEnd w:id="2"/>
    </w:p>
    <w:p w14:paraId="298663C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系统持有一个 root 根地址（主种子），作为所有派生地址的源头</w:t>
      </w:r>
    </w:p>
    <w:p w14:paraId="3DB88FB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安全要求：root 根私钥必须加密存储，永不落盘，建议使用硬件安全模块或类似安全机制</w:t>
      </w:r>
    </w:p>
    <w:p w14:paraId="0929033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地址派生</w:t>
      </w:r>
      <w:bookmarkEnd w:id="3"/>
    </w:p>
    <w:p w14:paraId="6E6D6F6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 HD 钱包协议（如 BIP32/BIP44）从 root 根派生子地址</w:t>
      </w:r>
    </w:p>
    <w:p w14:paraId="5E24DD1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每次派生新地址时，将地址及其对应的派生路径保存到数据库中</w:t>
      </w:r>
    </w:p>
    <w:p w14:paraId="10ED9DD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后续需要使用某个地址时，从数据库查出路径，利用 root 根重新生成地址</w:t>
      </w:r>
    </w:p>
    <w:p w14:paraId="03AA216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地址类型</w:t>
      </w:r>
      <w:bookmarkEnd w:id="4"/>
    </w:p>
    <w:p w14:paraId="1C375CE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用户充值地址：根据 HD 钱包规则派生，可复用或每次生成新地址（按业务策略决定）</w:t>
      </w:r>
    </w:p>
    <w:p w14:paraId="15509A0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热钱包地址：系统预先生成一个或多个热钱包地址并保存在数据库中，用于资产归集和对外提币</w:t>
      </w:r>
    </w:p>
    <w:p w14:paraId="0EBD524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内部查看地址：供内部使用的地址，查询时若不存在则按规则派生新地址</w:t>
      </w:r>
    </w:p>
    <w:p w14:paraId="2A5780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8E36D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三、区块扫描需求</w:t>
      </w:r>
      <w:bookmarkEnd w:id="5"/>
    </w:p>
    <w:p w14:paraId="183CF44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基础扫描逻辑</w:t>
      </w:r>
      <w:bookmarkEnd w:id="6"/>
    </w:p>
    <w:p w14:paraId="6894B0D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定时任务：定时获取比特币网络最新区块高度，与数据库中记录的已扫描高度进行比对</w:t>
      </w:r>
    </w:p>
    <w:p w14:paraId="30D92EF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扫描范围：从已扫描高度的下一个区块开始扫描</w:t>
      </w:r>
    </w:p>
    <w:p w14:paraId="31BD683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错误纠正：支持手动指定扫描某个固定区块，用于处理因定时任务出错导致的用户未到账问题</w:t>
      </w:r>
    </w:p>
    <w:p w14:paraId="3647DE0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每完成一个区块的扫描，更新数据库中的“已扫描最高区块高度”</w:t>
      </w:r>
    </w:p>
    <w:p w14:paraId="500D4F3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充值处理</w:t>
      </w:r>
      <w:bookmarkEnd w:id="7"/>
    </w:p>
    <w:p w14:paraId="4AC33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扫描每个区块中的交易：</w:t>
      </w:r>
    </w:p>
    <w:p w14:paraId="4F87037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检查交易输出地址是否在数据库的地址列表中</w:t>
      </w:r>
    </w:p>
    <w:p w14:paraId="523F59A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若命中，则：</w:t>
      </w:r>
    </w:p>
    <w:p w14:paraId="4E3E0DB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解析交易，提取 UTXO（交易哈希、输出索引、金额）</w:t>
      </w:r>
    </w:p>
    <w:p w14:paraId="5B278EE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将 UTXO 保存到数据库，状态为“未花费”</w:t>
      </w:r>
    </w:p>
    <w:p w14:paraId="2CC19D10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更新对应地址的账户余额</w:t>
      </w:r>
    </w:p>
    <w:p w14:paraId="252F160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生成一条充值记录（包含地址、金额、交易哈希等）</w:t>
      </w:r>
    </w:p>
    <w:p w14:paraId="1A1B3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防重复入账要求：</w:t>
      </w:r>
    </w:p>
    <w:p w14:paraId="2A7AC92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充值记录必须以 </w:t>
      </w:r>
      <w:r>
        <w:rPr>
          <w:rFonts w:ascii="Consolas" w:hAnsi="Consolas" w:eastAsia="Consolas" w:cs="Consolas"/>
          <w:sz w:val="22"/>
          <w:shd w:val="clear" w:fill="EFF0F1"/>
        </w:rPr>
        <w:t>(交易哈希, 输出索引)</w:t>
      </w:r>
      <w:r>
        <w:rPr>
          <w:rFonts w:ascii="Arial" w:hAnsi="Arial" w:eastAsia="等线" w:cs="Arial"/>
          <w:sz w:val="22"/>
        </w:rPr>
        <w:t xml:space="preserve"> 为唯一标识，防止同一笔交易被重复处理</w:t>
      </w:r>
    </w:p>
    <w:p w14:paraId="3043FA1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即使扫描任务重复执行，也不能产生重复的充值记录</w:t>
      </w:r>
    </w:p>
    <w:p w14:paraId="501CD1A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建议采用延迟确认机制（如 6 个确认后最终入账），防范区块重组风险</w:t>
      </w:r>
    </w:p>
    <w:p w14:paraId="0CBCF60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3.3 提现处理（链上确认）</w:t>
      </w:r>
      <w:bookmarkEnd w:id="8"/>
    </w:p>
    <w:p w14:paraId="1EC4D2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扫描到系统发起的提币交易时：</w:t>
      </w:r>
    </w:p>
    <w:p w14:paraId="0729A9D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将交易中涉及的被消费 UTXO 标记为“已花费”</w:t>
      </w:r>
    </w:p>
    <w:p w14:paraId="5BAD668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扣除用户申请提币时预先冻结的金额</w:t>
      </w:r>
    </w:p>
    <w:p w14:paraId="1E4C202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生成一条提币记录，状态更新为“已完成”</w:t>
      </w:r>
    </w:p>
    <w:p w14:paraId="1FE827F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3.4 内部归集处理</w:t>
      </w:r>
      <w:bookmarkEnd w:id="9"/>
    </w:p>
    <w:p w14:paraId="6A399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场景：将多个用户地址的余额汇总划转到系统预设的热钱包地址</w:t>
      </w:r>
    </w:p>
    <w:p w14:paraId="4F2DAC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处理规则：</w:t>
      </w:r>
    </w:p>
    <w:p w14:paraId="3C1BE57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此类交易属于内部转账，不更新转出地址的余额（资产所有权未变，仅存放位置变化）</w:t>
      </w:r>
    </w:p>
    <w:p w14:paraId="12983D9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将交易中涉及的用户地址 UTXO 标记为“已花费”</w:t>
      </w:r>
    </w:p>
    <w:p w14:paraId="598E4A3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解析交易输出，将输出到热钱包地址的 UTXO 作为新记录保存，状态为“未花费”</w:t>
      </w:r>
    </w:p>
    <w:p w14:paraId="784A888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3.5 区块重组处理</w:t>
      </w:r>
      <w:bookmarkEnd w:id="10"/>
    </w:p>
    <w:p w14:paraId="6B6D2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风险：区块链发生重组时，原链上的交易可能失效</w:t>
      </w:r>
    </w:p>
    <w:p w14:paraId="7386F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处理要求：</w:t>
      </w:r>
    </w:p>
    <w:p w14:paraId="140A179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系统必须能检测到区块重组（如记录区块哈希和父哈希进行校验）</w:t>
      </w:r>
    </w:p>
    <w:p w14:paraId="150D286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发现重组时，回滚到重组发生前的高度：</w:t>
      </w:r>
    </w:p>
    <w:p w14:paraId="54530298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删除该高度之后的所有充值/提现记录</w:t>
      </w:r>
    </w:p>
    <w:p w14:paraId="7134466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恢复 UTXO 状态和地址余额</w:t>
      </w:r>
    </w:p>
    <w:p w14:paraId="076E843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重新扫描新区块链</w:t>
      </w:r>
    </w:p>
    <w:p w14:paraId="69FDEB3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或采用简化方案：充值达到 6 个确认后才最终入账，降低重组影响</w:t>
      </w:r>
    </w:p>
    <w:p w14:paraId="30FE6A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56AB5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四、提币流程需求</w:t>
      </w:r>
      <w:bookmarkEnd w:id="11"/>
    </w:p>
    <w:p w14:paraId="55030FF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提币申请</w:t>
      </w:r>
      <w:bookmarkEnd w:id="12"/>
    </w:p>
    <w:p w14:paraId="75A5B2F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用户发起提币申请时，冻结其账户中对应的金额</w:t>
      </w:r>
    </w:p>
    <w:p w14:paraId="35C4CAC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创建一条提币申请记录，初始状态为“待审核”</w:t>
      </w:r>
    </w:p>
    <w:p w14:paraId="71F7DB7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审核</w:t>
      </w:r>
      <w:bookmarkEnd w:id="13"/>
    </w:p>
    <w:p w14:paraId="5777FE5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系统提供后台审核功能（或假设审核已在线下完成）</w:t>
      </w:r>
    </w:p>
    <w:p w14:paraId="15D5F24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审核通过后状态更新为“已审核”</w:t>
      </w:r>
    </w:p>
    <w:p w14:paraId="3D09F18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审核拒绝后状态更新为“已拒绝”，并解冻金额</w:t>
      </w:r>
    </w:p>
    <w:p w14:paraId="3B456DA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提币执行</w:t>
      </w:r>
      <w:bookmarkEnd w:id="14"/>
    </w:p>
    <w:p w14:paraId="118408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定时任务扫描所有“已审核通过”的提币申请，开始执行提币操作：</w:t>
      </w:r>
    </w:p>
    <w:p w14:paraId="30D7C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1：锁定与UTXO选择</w:t>
      </w:r>
    </w:p>
    <w:p w14:paraId="39CD5BA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对选中的提币申请记录加锁，防止其他任务同时处理</w:t>
      </w:r>
    </w:p>
    <w:p w14:paraId="318B76D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根据提币金额（含矿工费），从用户地址的可用 UTXO 池中选择最优组合</w:t>
      </w:r>
    </w:p>
    <w:p w14:paraId="71FDE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2：预扣UTXO（关键防双花）</w:t>
      </w:r>
    </w:p>
    <w:p w14:paraId="57B8EC5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立即将选中的 UTXO 状态更新为“已锁定”，并关联当前提币申请ID</w:t>
      </w:r>
    </w:p>
    <w:p w14:paraId="763414F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设置锁定过期时间，防止因服务异常导致 UTXO 永久锁定</w:t>
      </w:r>
    </w:p>
    <w:p w14:paraId="22F22EB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这一步确保即使后续签名或广播失败，这些 UTXO 也不会被其他提币任务或归集任务再次选中</w:t>
      </w:r>
    </w:p>
    <w:p w14:paraId="50364F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3：签名与广播</w:t>
      </w:r>
    </w:p>
    <w:p w14:paraId="2CA43DE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利用对应的私钥（通过路径+root根派生）进行离线签名</w:t>
      </w:r>
    </w:p>
    <w:p w14:paraId="4CE6428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将签名后的交易广播至比特币网络</w:t>
      </w:r>
    </w:p>
    <w:p w14:paraId="7E1D8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4：状态更新</w:t>
      </w:r>
    </w:p>
    <w:p w14:paraId="72DFB0C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广播成功：</w:t>
      </w:r>
    </w:p>
    <w:p w14:paraId="17AD5D97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将 UTXO 状态最终确认为“已花费”</w:t>
      </w:r>
    </w:p>
    <w:p w14:paraId="2951FC12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更新提币申请状态为“已完成”，记录交易哈希</w:t>
      </w:r>
    </w:p>
    <w:p w14:paraId="761F7CDA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扣除用户冻结金额</w:t>
      </w:r>
    </w:p>
    <w:p w14:paraId="580E6CE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广播失败：</w:t>
      </w:r>
    </w:p>
    <w:p w14:paraId="02F43F26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回滚 UTXO 状态：将“已锁定”恢复为“未花费”</w:t>
      </w:r>
    </w:p>
    <w:p w14:paraId="26C77A4B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提币申请状态可更新为“失败”或保留为“待重试”，人工介入处理</w:t>
      </w:r>
    </w:p>
    <w:p w14:paraId="63C281C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4.4 防重复处理要求</w:t>
      </w:r>
      <w:bookmarkEnd w:id="15"/>
    </w:p>
    <w:p w14:paraId="7ADCB1EB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2EABF18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BA5AF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690F91">
      <w:pPr>
        <w:numPr>
          <w:ilvl w:val="0"/>
          <w:numId w:val="53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6" w:name="heading_16"/>
      <w:r>
        <w:rPr>
          <w:rFonts w:ascii="Arial" w:hAnsi="Arial" w:eastAsia="等线" w:cs="Arial"/>
          <w:b/>
          <w:sz w:val="32"/>
        </w:rPr>
        <w:t>安全与可靠性要求</w:t>
      </w:r>
      <w:bookmarkEnd w:id="16"/>
      <w:bookmarkStart w:id="17" w:name="heading_18"/>
    </w:p>
    <w:p w14:paraId="21FA6FD8">
      <w:pPr>
        <w:numPr>
          <w:numId w:val="0"/>
        </w:num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5</w:t>
      </w:r>
      <w:r>
        <w:rPr>
          <w:rFonts w:hint="eastAsia" w:ascii="Arial" w:hAnsi="Arial" w:eastAsia="等线" w:cs="Arial"/>
          <w:b/>
          <w:sz w:val="30"/>
          <w:lang w:eastAsia="zh-CN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充值幂等性</w:t>
      </w:r>
      <w:bookmarkEnd w:id="17"/>
    </w:p>
    <w:p w14:paraId="58F584D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无论扫描任务重复执行多少次，同一笔充值只能入账一次</w:t>
      </w:r>
    </w:p>
    <w:p w14:paraId="2EB2974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必须通过唯一标识（交易哈希+输出索引）防止重复记录</w:t>
      </w:r>
    </w:p>
    <w:p w14:paraId="0FFAAE97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5.3 提现防双花</w:t>
      </w:r>
      <w:bookmarkEnd w:id="18"/>
    </w:p>
    <w:p w14:paraId="6A53217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UTXO 预锁定机制必须与提币申请强关联</w:t>
      </w:r>
    </w:p>
    <w:p w14:paraId="226D3DB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锁定状态需有过期机制，防止死锁</w:t>
      </w:r>
    </w:p>
    <w:p w14:paraId="2388D0A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 UTXO 不能被两笔不同的提币交易同时选中</w:t>
      </w:r>
    </w:p>
    <w:p w14:paraId="60F5DA45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5.4 数据一致性</w:t>
      </w:r>
      <w:bookmarkEnd w:id="19"/>
    </w:p>
    <w:p w14:paraId="3524A47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涉及资产变动的操作（充值、提现、冻结）需保证原子性</w:t>
      </w:r>
    </w:p>
    <w:p w14:paraId="050C81B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提币流程中，UTXO 状态变更与提币申请状态变更需保持最终一致</w:t>
      </w:r>
    </w:p>
    <w:p w14:paraId="23A909F5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5.5 异常恢复</w:t>
      </w:r>
      <w:bookmarkEnd w:id="20"/>
    </w:p>
    <w:p w14:paraId="630D9C2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支持手动扫描指定区块，用于补单和修复</w:t>
      </w:r>
    </w:p>
    <w:p w14:paraId="340B417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服务重启后，能恢复未完成的提币处理（如解锁超时锁定的 UTXO）</w:t>
      </w:r>
    </w:p>
    <w:p w14:paraId="0DF6254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关键操作需记录日志，便于问题追踪</w:t>
      </w:r>
    </w:p>
    <w:p w14:paraId="6DF0D96F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5.6 区块重组防护</w:t>
      </w:r>
      <w:bookmarkEnd w:id="21"/>
    </w:p>
    <w:p w14:paraId="633F75D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充值必须等待足够确认数（如 6 个）后才能最终入账</w:t>
      </w:r>
    </w:p>
    <w:p w14:paraId="25A5835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系统应能检测并处理区块重组，避免因重组导致资产错误</w:t>
      </w:r>
    </w:p>
    <w:p w14:paraId="7C79246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260841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六、定时任务需求</w:t>
      </w:r>
      <w:bookmarkEnd w:id="22"/>
    </w:p>
    <w:p w14:paraId="1055D882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7B4C06B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0F177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2D14E0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七、监控与运维需求</w:t>
      </w:r>
      <w:bookmarkEnd w:id="23"/>
    </w:p>
    <w:p w14:paraId="0852E56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余额监控：实时监控热钱包余额，低于阈值时告警</w:t>
      </w:r>
    </w:p>
    <w:p w14:paraId="24215206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任务监控：监控各定时任务的执行状态和延迟</w:t>
      </w:r>
    </w:p>
    <w:p w14:paraId="715BA733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失败告警：提币广播失败、扫块异常等情况需及时告警</w:t>
      </w:r>
    </w:p>
    <w:p w14:paraId="2B9CFCA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人工干预接口：支持手动扫块、手动解锁 UTXO、手动归集等操作</w:t>
      </w:r>
      <w:bookmarkStart w:id="24" w:name="_GoBack"/>
      <w:bookmarkEnd w:id="2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6A9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F665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B214F"/>
    <w:multiLevelType w:val="singleLevel"/>
    <w:tmpl w:val="8DFB21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EF46633"/>
    <w:multiLevelType w:val="singleLevel"/>
    <w:tmpl w:val="8EF466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67A2BD3"/>
    <w:multiLevelType w:val="singleLevel"/>
    <w:tmpl w:val="967A2B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7FD10E0"/>
    <w:multiLevelType w:val="singleLevel"/>
    <w:tmpl w:val="97FD10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D7E01C2"/>
    <w:multiLevelType w:val="singleLevel"/>
    <w:tmpl w:val="9D7E01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EB4F95E"/>
    <w:multiLevelType w:val="singleLevel"/>
    <w:tmpl w:val="AEB4F9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FF77E9D"/>
    <w:multiLevelType w:val="singleLevel"/>
    <w:tmpl w:val="AFF77E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1DE9D3B"/>
    <w:multiLevelType w:val="singleLevel"/>
    <w:tmpl w:val="B1DE9D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8A6C232"/>
    <w:multiLevelType w:val="singleLevel"/>
    <w:tmpl w:val="B8A6C2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7B7A61"/>
    <w:multiLevelType w:val="singleLevel"/>
    <w:tmpl w:val="BB7B7A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CF65A76"/>
    <w:multiLevelType w:val="singleLevel"/>
    <w:tmpl w:val="BCF65A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FD8375"/>
    <w:multiLevelType w:val="singleLevel"/>
    <w:tmpl w:val="BEFD83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FE3013"/>
    <w:multiLevelType w:val="singleLevel"/>
    <w:tmpl w:val="BEFE30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FECB57"/>
    <w:multiLevelType w:val="singleLevel"/>
    <w:tmpl w:val="BEFECB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5E1AF7"/>
    <w:multiLevelType w:val="singleLevel"/>
    <w:tmpl w:val="BF5E1A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FDB7ED6"/>
    <w:multiLevelType w:val="singleLevel"/>
    <w:tmpl w:val="BFDB7E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FEF5A1A"/>
    <w:multiLevelType w:val="singleLevel"/>
    <w:tmpl w:val="BFEF5A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F8BA30"/>
    <w:multiLevelType w:val="singleLevel"/>
    <w:tmpl w:val="BFF8BA3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C9BF03B3"/>
    <w:multiLevelType w:val="singleLevel"/>
    <w:tmpl w:val="C9BF03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D7038E7"/>
    <w:multiLevelType w:val="singleLevel"/>
    <w:tmpl w:val="CD7038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EAC9913"/>
    <w:multiLevelType w:val="singleLevel"/>
    <w:tmpl w:val="CEAC9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5FA93D5"/>
    <w:multiLevelType w:val="singleLevel"/>
    <w:tmpl w:val="D5FA93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DE00C5"/>
    <w:multiLevelType w:val="singleLevel"/>
    <w:tmpl w:val="D7DE00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CCDCD44"/>
    <w:multiLevelType w:val="singleLevel"/>
    <w:tmpl w:val="DCCDCD4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DCD61393"/>
    <w:multiLevelType w:val="singleLevel"/>
    <w:tmpl w:val="DCD61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6BE2E3D"/>
    <w:multiLevelType w:val="singleLevel"/>
    <w:tmpl w:val="E6BE2E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7EDF29F"/>
    <w:multiLevelType w:val="singleLevel"/>
    <w:tmpl w:val="E7EDF2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DB9CB4A"/>
    <w:multiLevelType w:val="singleLevel"/>
    <w:tmpl w:val="EDB9CB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DFA966A"/>
    <w:multiLevelType w:val="singleLevel"/>
    <w:tmpl w:val="EDFA96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DFE0735"/>
    <w:multiLevelType w:val="singleLevel"/>
    <w:tmpl w:val="EDFE07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FBE9E6F"/>
    <w:multiLevelType w:val="singleLevel"/>
    <w:tmpl w:val="EFBE9E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FC6AF64"/>
    <w:multiLevelType w:val="singleLevel"/>
    <w:tmpl w:val="EFC6AF6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EFF8867C"/>
    <w:multiLevelType w:val="singleLevel"/>
    <w:tmpl w:val="EFF886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FFE0087"/>
    <w:multiLevelType w:val="singleLevel"/>
    <w:tmpl w:val="EFFE00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FFEBEC6"/>
    <w:multiLevelType w:val="singleLevel"/>
    <w:tmpl w:val="EFFEBE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5DF29CB"/>
    <w:multiLevelType w:val="singleLevel"/>
    <w:tmpl w:val="F5DF2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9D9C7AF"/>
    <w:multiLevelType w:val="singleLevel"/>
    <w:tmpl w:val="F9D9C7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9FED3B4"/>
    <w:multiLevelType w:val="singleLevel"/>
    <w:tmpl w:val="F9FED3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FAB6C7FC"/>
    <w:multiLevelType w:val="singleLevel"/>
    <w:tmpl w:val="FAB6C7F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BA694C1"/>
    <w:multiLevelType w:val="singleLevel"/>
    <w:tmpl w:val="FBA694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BED4F25"/>
    <w:multiLevelType w:val="singleLevel"/>
    <w:tmpl w:val="FBED4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C2FF777"/>
    <w:multiLevelType w:val="singleLevel"/>
    <w:tmpl w:val="FC2FF7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CDDE8E9"/>
    <w:multiLevelType w:val="singleLevel"/>
    <w:tmpl w:val="FCDDE8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D34E3C8"/>
    <w:multiLevelType w:val="singleLevel"/>
    <w:tmpl w:val="FD34E3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D56F13F"/>
    <w:multiLevelType w:val="singleLevel"/>
    <w:tmpl w:val="FD56F1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DE448E0"/>
    <w:multiLevelType w:val="singleLevel"/>
    <w:tmpl w:val="FDE448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F03A77F"/>
    <w:multiLevelType w:val="singleLevel"/>
    <w:tmpl w:val="FF03A7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FF0A0026"/>
    <w:multiLevelType w:val="singleLevel"/>
    <w:tmpl w:val="FF0A00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F7FDA18"/>
    <w:multiLevelType w:val="singleLevel"/>
    <w:tmpl w:val="FF7FDA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FBE68B3"/>
    <w:multiLevelType w:val="singleLevel"/>
    <w:tmpl w:val="FFBE68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FFDEAEE0"/>
    <w:multiLevelType w:val="singleLevel"/>
    <w:tmpl w:val="FFDEAE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FF3765B"/>
    <w:multiLevelType w:val="singleLevel"/>
    <w:tmpl w:val="FFF376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FFFDB129"/>
    <w:multiLevelType w:val="singleLevel"/>
    <w:tmpl w:val="FFFDB1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BA621E3"/>
    <w:multiLevelType w:val="singleLevel"/>
    <w:tmpl w:val="1BA621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E3330B6"/>
    <w:multiLevelType w:val="singleLevel"/>
    <w:tmpl w:val="4E3330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2F6E21C"/>
    <w:multiLevelType w:val="singleLevel"/>
    <w:tmpl w:val="52F6E2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EDF3CCC"/>
    <w:multiLevelType w:val="singleLevel"/>
    <w:tmpl w:val="5EDF3C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FEDC119"/>
    <w:multiLevelType w:val="singleLevel"/>
    <w:tmpl w:val="5FEDC1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6FAA358"/>
    <w:multiLevelType w:val="singleLevel"/>
    <w:tmpl w:val="76FAA3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7D29F57"/>
    <w:multiLevelType w:val="singleLevel"/>
    <w:tmpl w:val="77D29F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7ECCAA9"/>
    <w:multiLevelType w:val="singleLevel"/>
    <w:tmpl w:val="77ECCA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97F4F79"/>
    <w:multiLevelType w:val="singleLevel"/>
    <w:tmpl w:val="797F4F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B5E46DE"/>
    <w:multiLevelType w:val="singleLevel"/>
    <w:tmpl w:val="7B5E46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B7E1CFF"/>
    <w:multiLevelType w:val="singleLevel"/>
    <w:tmpl w:val="7B7E1C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BFA5765"/>
    <w:multiLevelType w:val="singleLevel"/>
    <w:tmpl w:val="7BFA57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DDEF958"/>
    <w:multiLevelType w:val="singleLevel"/>
    <w:tmpl w:val="7DDEF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F7F409D"/>
    <w:multiLevelType w:val="singleLevel"/>
    <w:tmpl w:val="7F7F40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F86761D"/>
    <w:multiLevelType w:val="singleLevel"/>
    <w:tmpl w:val="7F8676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FDEC63F"/>
    <w:multiLevelType w:val="singleLevel"/>
    <w:tmpl w:val="7FDEC63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7"/>
  </w:num>
  <w:num w:numId="2">
    <w:abstractNumId w:val="68"/>
  </w:num>
  <w:num w:numId="3">
    <w:abstractNumId w:val="22"/>
  </w:num>
  <w:num w:numId="4">
    <w:abstractNumId w:val="24"/>
  </w:num>
  <w:num w:numId="5">
    <w:abstractNumId w:val="6"/>
  </w:num>
  <w:num w:numId="6">
    <w:abstractNumId w:val="18"/>
  </w:num>
  <w:num w:numId="7">
    <w:abstractNumId w:val="2"/>
  </w:num>
  <w:num w:numId="8">
    <w:abstractNumId w:val="60"/>
  </w:num>
  <w:num w:numId="9">
    <w:abstractNumId w:val="56"/>
  </w:num>
  <w:num w:numId="10">
    <w:abstractNumId w:val="35"/>
  </w:num>
  <w:num w:numId="11">
    <w:abstractNumId w:val="0"/>
  </w:num>
  <w:num w:numId="12">
    <w:abstractNumId w:val="20"/>
  </w:num>
  <w:num w:numId="13">
    <w:abstractNumId w:val="12"/>
  </w:num>
  <w:num w:numId="14">
    <w:abstractNumId w:val="55"/>
  </w:num>
  <w:num w:numId="15">
    <w:abstractNumId w:val="23"/>
  </w:num>
  <w:num w:numId="16">
    <w:abstractNumId w:val="1"/>
  </w:num>
  <w:num w:numId="17">
    <w:abstractNumId w:val="31"/>
  </w:num>
  <w:num w:numId="18">
    <w:abstractNumId w:val="38"/>
  </w:num>
  <w:num w:numId="19">
    <w:abstractNumId w:val="57"/>
  </w:num>
  <w:num w:numId="20">
    <w:abstractNumId w:val="61"/>
  </w:num>
  <w:num w:numId="21">
    <w:abstractNumId w:val="62"/>
  </w:num>
  <w:num w:numId="22">
    <w:abstractNumId w:val="59"/>
  </w:num>
  <w:num w:numId="23">
    <w:abstractNumId w:val="3"/>
  </w:num>
  <w:num w:numId="24">
    <w:abstractNumId w:val="14"/>
  </w:num>
  <w:num w:numId="25">
    <w:abstractNumId w:val="58"/>
  </w:num>
  <w:num w:numId="26">
    <w:abstractNumId w:val="21"/>
  </w:num>
  <w:num w:numId="27">
    <w:abstractNumId w:val="42"/>
  </w:num>
  <w:num w:numId="28">
    <w:abstractNumId w:val="48"/>
  </w:num>
  <w:num w:numId="29">
    <w:abstractNumId w:val="34"/>
  </w:num>
  <w:num w:numId="30">
    <w:abstractNumId w:val="49"/>
  </w:num>
  <w:num w:numId="31">
    <w:abstractNumId w:val="7"/>
  </w:num>
  <w:num w:numId="32">
    <w:abstractNumId w:val="46"/>
  </w:num>
  <w:num w:numId="33">
    <w:abstractNumId w:val="50"/>
  </w:num>
  <w:num w:numId="34">
    <w:abstractNumId w:val="29"/>
  </w:num>
  <w:num w:numId="35">
    <w:abstractNumId w:val="36"/>
  </w:num>
  <w:num w:numId="36">
    <w:abstractNumId w:val="65"/>
  </w:num>
  <w:num w:numId="37">
    <w:abstractNumId w:val="19"/>
  </w:num>
  <w:num w:numId="38">
    <w:abstractNumId w:val="63"/>
  </w:num>
  <w:num w:numId="39">
    <w:abstractNumId w:val="16"/>
  </w:num>
  <w:num w:numId="40">
    <w:abstractNumId w:val="5"/>
  </w:num>
  <w:num w:numId="41">
    <w:abstractNumId w:val="39"/>
  </w:num>
  <w:num w:numId="42">
    <w:abstractNumId w:val="4"/>
  </w:num>
  <w:num w:numId="43">
    <w:abstractNumId w:val="45"/>
  </w:num>
  <w:num w:numId="44">
    <w:abstractNumId w:val="27"/>
  </w:num>
  <w:num w:numId="45">
    <w:abstractNumId w:val="28"/>
  </w:num>
  <w:num w:numId="46">
    <w:abstractNumId w:val="33"/>
  </w:num>
  <w:num w:numId="47">
    <w:abstractNumId w:val="41"/>
  </w:num>
  <w:num w:numId="48">
    <w:abstractNumId w:val="37"/>
  </w:num>
  <w:num w:numId="49">
    <w:abstractNumId w:val="15"/>
  </w:num>
  <w:num w:numId="50">
    <w:abstractNumId w:val="13"/>
  </w:num>
  <w:num w:numId="51">
    <w:abstractNumId w:val="51"/>
  </w:num>
  <w:num w:numId="52">
    <w:abstractNumId w:val="40"/>
  </w:num>
  <w:num w:numId="53">
    <w:abstractNumId w:val="17"/>
  </w:num>
  <w:num w:numId="54">
    <w:abstractNumId w:val="43"/>
  </w:num>
  <w:num w:numId="55">
    <w:abstractNumId w:val="32"/>
  </w:num>
  <w:num w:numId="56">
    <w:abstractNumId w:val="54"/>
  </w:num>
  <w:num w:numId="57">
    <w:abstractNumId w:val="9"/>
  </w:num>
  <w:num w:numId="58">
    <w:abstractNumId w:val="25"/>
  </w:num>
  <w:num w:numId="59">
    <w:abstractNumId w:val="8"/>
  </w:num>
  <w:num w:numId="60">
    <w:abstractNumId w:val="26"/>
  </w:num>
  <w:num w:numId="61">
    <w:abstractNumId w:val="11"/>
  </w:num>
  <w:num w:numId="62">
    <w:abstractNumId w:val="64"/>
  </w:num>
  <w:num w:numId="63">
    <w:abstractNumId w:val="66"/>
  </w:num>
  <w:num w:numId="64">
    <w:abstractNumId w:val="10"/>
  </w:num>
  <w:num w:numId="65">
    <w:abstractNumId w:val="52"/>
  </w:num>
  <w:num w:numId="66">
    <w:abstractNumId w:val="44"/>
  </w:num>
  <w:num w:numId="67">
    <w:abstractNumId w:val="67"/>
  </w:num>
  <w:num w:numId="68">
    <w:abstractNumId w:val="53"/>
  </w:num>
  <w:num w:numId="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71BD9F4"/>
    <w:rsid w:val="7EFD5A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2026-02-28T22:13:00Z</dcterms:created>
  <dc:creator>Apache POI</dc:creator>
  <cp:lastModifiedBy>李矮矮</cp:lastModifiedBy>
  <dcterms:modified xsi:type="dcterms:W3CDTF">2026-03-01T14:54:46Z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93F4499D1145995EA8E2A369541B4A58_42</vt:lpwstr>
  </property>
</Properties>
</file>