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CD12" w14:textId="77777777" w:rsidR="00673B23" w:rsidRDefault="00673B23" w:rsidP="00673B23">
      <w:proofErr w:type="spellStart"/>
      <w:r>
        <w:t>Dorgau</w:t>
      </w:r>
      <w:proofErr w:type="spellEnd"/>
      <w:r>
        <w:t xml:space="preserve"> et al, Nature Comm   (Supplementary Data </w:t>
      </w:r>
      <w:hyperlink r:id="rId4" w:anchor="MOESM4" w:history="1">
        <w:r>
          <w:rPr>
            <w:rStyle w:val="Hyperlink"/>
          </w:rPr>
          <w:t>1</w:t>
        </w:r>
      </w:hyperlink>
      <w:r>
        <w:t>).</w:t>
      </w:r>
    </w:p>
    <w:p w14:paraId="50056320" w14:textId="77777777" w:rsidR="00012437" w:rsidRDefault="00012437"/>
    <w:p w14:paraId="25EF1872" w14:textId="569C94CD" w:rsidR="00673B23" w:rsidRPr="00012437" w:rsidRDefault="00012437">
      <w:pPr>
        <w:rPr>
          <w:u w:val="single"/>
        </w:rPr>
      </w:pPr>
      <w:r w:rsidRPr="00012437">
        <w:rPr>
          <w:u w:val="single"/>
        </w:rPr>
        <w:t>Retinal stem cells</w:t>
      </w:r>
    </w:p>
    <w:p w14:paraId="3C1E8F35" w14:textId="690385A6" w:rsidR="00673B23" w:rsidRDefault="00673B23">
      <w:r w:rsidRPr="00673B23">
        <w:rPr>
          <w:b/>
          <w:bCs/>
        </w:rPr>
        <w:t>Early RPC markers</w:t>
      </w:r>
      <w:r>
        <w:t xml:space="preserve"> of RPCs clusters of 7.5 and 7.7 PCW eyes</w:t>
      </w:r>
    </w:p>
    <w:p w14:paraId="48F24835" w14:textId="38119AEB" w:rsidR="00673B23" w:rsidRDefault="00673B23">
      <w:r w:rsidRPr="006A08A1">
        <w:rPr>
          <w:i/>
          <w:iCs/>
          <w:color w:val="EE0000"/>
        </w:rPr>
        <w:t>SFRP2</w:t>
      </w:r>
      <w:r>
        <w:rPr>
          <w:i/>
          <w:iCs/>
        </w:rPr>
        <w:t xml:space="preserve">, </w:t>
      </w:r>
      <w:r w:rsidRPr="006A08A1">
        <w:rPr>
          <w:i/>
          <w:iCs/>
          <w:color w:val="EE0000"/>
        </w:rPr>
        <w:t>RAX</w:t>
      </w:r>
      <w:r>
        <w:rPr>
          <w:i/>
          <w:iCs/>
        </w:rPr>
        <w:t xml:space="preserve">, </w:t>
      </w:r>
      <w:r w:rsidRPr="006A08A1">
        <w:rPr>
          <w:i/>
          <w:iCs/>
          <w:color w:val="EE0000"/>
        </w:rPr>
        <w:t>PAX6</w:t>
      </w:r>
      <w:r>
        <w:rPr>
          <w:i/>
          <w:iCs/>
        </w:rPr>
        <w:t xml:space="preserve">, </w:t>
      </w:r>
      <w:r w:rsidRPr="00012437">
        <w:rPr>
          <w:i/>
          <w:iCs/>
          <w:color w:val="EE0000"/>
        </w:rPr>
        <w:t>VSX2</w:t>
      </w:r>
      <w:r>
        <w:rPr>
          <w:i/>
          <w:iCs/>
        </w:rPr>
        <w:t xml:space="preserve">, </w:t>
      </w:r>
      <w:r w:rsidRPr="00012437">
        <w:rPr>
          <w:b/>
          <w:bCs/>
          <w:i/>
          <w:iCs/>
        </w:rPr>
        <w:t xml:space="preserve">ZIC2, </w:t>
      </w:r>
      <w:r w:rsidRPr="00012437">
        <w:rPr>
          <w:i/>
          <w:iCs/>
          <w:color w:val="EE0000"/>
        </w:rPr>
        <w:t>ZIC1</w:t>
      </w:r>
      <w:r w:rsidRPr="00012437">
        <w:rPr>
          <w:b/>
          <w:bCs/>
          <w:i/>
          <w:iCs/>
        </w:rPr>
        <w:t>, SIX3, SIX6</w:t>
      </w:r>
      <w:hyperlink r:id="rId5" w:anchor="ref-CR20" w:tooltip="Bassett, E. A. &amp; Wallace, V. A. Cell fate determination in the vertebrate retina. Trends Neurosci. 35, 565–573 (2012)." w:history="1">
        <w:r w:rsidRPr="00012437">
          <w:rPr>
            <w:rStyle w:val="Hyperlink"/>
            <w:b/>
            <w:bCs/>
            <w:vertAlign w:val="superscript"/>
          </w:rPr>
          <w:t>20</w:t>
        </w:r>
      </w:hyperlink>
      <w:r>
        <w:t xml:space="preserve"> </w:t>
      </w:r>
    </w:p>
    <w:p w14:paraId="12F82510" w14:textId="1816FEC2" w:rsidR="006A08A1" w:rsidRDefault="006A08A1" w:rsidP="006A08A1">
      <w:pPr>
        <w:rPr>
          <w:i/>
          <w:iCs/>
          <w:color w:val="EE0000"/>
        </w:rPr>
      </w:pPr>
      <w:r w:rsidRPr="00D50DB8">
        <w:rPr>
          <w:b/>
          <w:bCs/>
        </w:rPr>
        <w:t>RPC clusters</w:t>
      </w:r>
      <w:r>
        <w:t xml:space="preserve"> were identified with enriched expression of typical markers including </w:t>
      </w:r>
      <w:r w:rsidRPr="006A08A1">
        <w:rPr>
          <w:i/>
          <w:iCs/>
          <w:color w:val="EE0000"/>
        </w:rPr>
        <w:t>SFRP2</w:t>
      </w:r>
      <w:r>
        <w:rPr>
          <w:i/>
          <w:iCs/>
        </w:rPr>
        <w:t xml:space="preserve">, </w:t>
      </w:r>
      <w:r w:rsidRPr="00012437">
        <w:rPr>
          <w:b/>
          <w:bCs/>
          <w:i/>
          <w:iCs/>
        </w:rPr>
        <w:t>DAPL1</w:t>
      </w:r>
      <w:r>
        <w:rPr>
          <w:i/>
          <w:iCs/>
        </w:rPr>
        <w:t xml:space="preserve">, </w:t>
      </w:r>
      <w:r w:rsidRPr="00012437">
        <w:rPr>
          <w:i/>
          <w:iCs/>
          <w:color w:val="EE0000"/>
        </w:rPr>
        <w:t>HES1</w:t>
      </w:r>
      <w:r>
        <w:rPr>
          <w:i/>
          <w:iCs/>
        </w:rPr>
        <w:t>,</w:t>
      </w:r>
      <w:r w:rsidRPr="00012437">
        <w:rPr>
          <w:b/>
          <w:bCs/>
          <w:i/>
          <w:iCs/>
        </w:rPr>
        <w:t xml:space="preserve"> HMGA1</w:t>
      </w:r>
      <w:r>
        <w:rPr>
          <w:i/>
          <w:iCs/>
        </w:rPr>
        <w:t xml:space="preserve">, </w:t>
      </w:r>
      <w:r w:rsidRPr="006A08A1">
        <w:rPr>
          <w:i/>
          <w:iCs/>
          <w:color w:val="EE0000"/>
        </w:rPr>
        <w:t>PAX6</w:t>
      </w:r>
      <w:r>
        <w:rPr>
          <w:i/>
          <w:iCs/>
        </w:rPr>
        <w:t xml:space="preserve">, </w:t>
      </w:r>
      <w:r w:rsidRPr="006A08A1">
        <w:rPr>
          <w:i/>
          <w:iCs/>
          <w:color w:val="EE0000"/>
        </w:rPr>
        <w:t>RAX</w:t>
      </w:r>
    </w:p>
    <w:p w14:paraId="58546823" w14:textId="392BF17D" w:rsidR="00012437" w:rsidRPr="00012437" w:rsidRDefault="00012437">
      <w:pPr>
        <w:rPr>
          <w:b/>
          <w:bCs/>
          <w:i/>
          <w:iCs/>
        </w:rPr>
      </w:pPr>
      <w:r>
        <w:t>P</w:t>
      </w:r>
      <w:r w:rsidRPr="00D50DB8">
        <w:rPr>
          <w:b/>
          <w:bCs/>
        </w:rPr>
        <w:t>roliferating RPCs</w:t>
      </w:r>
      <w:r>
        <w:t xml:space="preserve"> were also found next to RPCs and were characterized by high expression of proliferation markers (e.g., </w:t>
      </w:r>
      <w:r w:rsidRPr="00012437">
        <w:rPr>
          <w:b/>
          <w:bCs/>
          <w:i/>
          <w:iCs/>
        </w:rPr>
        <w:t>MKi67</w:t>
      </w:r>
      <w:r>
        <w:rPr>
          <w:i/>
          <w:iCs/>
        </w:rPr>
        <w:t xml:space="preserve">, </w:t>
      </w:r>
      <w:r w:rsidRPr="00012437">
        <w:rPr>
          <w:b/>
          <w:bCs/>
          <w:i/>
          <w:iCs/>
        </w:rPr>
        <w:t>TOP2A</w:t>
      </w:r>
      <w:r>
        <w:t>) and RPCs markers (</w:t>
      </w:r>
      <w:r w:rsidRPr="00012437">
        <w:rPr>
          <w:i/>
          <w:iCs/>
          <w:color w:val="EE0000"/>
        </w:rPr>
        <w:t>RAX</w:t>
      </w:r>
      <w:r>
        <w:rPr>
          <w:i/>
          <w:iCs/>
        </w:rPr>
        <w:t xml:space="preserve">, </w:t>
      </w:r>
      <w:r w:rsidRPr="00012437">
        <w:rPr>
          <w:i/>
          <w:iCs/>
          <w:color w:val="EE0000"/>
        </w:rPr>
        <w:t>VSX2</w:t>
      </w:r>
      <w:r>
        <w:t xml:space="preserve">, </w:t>
      </w:r>
      <w:r w:rsidRPr="00012437">
        <w:rPr>
          <w:i/>
          <w:iCs/>
          <w:color w:val="EE0000"/>
        </w:rPr>
        <w:t>SFRPP2</w:t>
      </w:r>
      <w:r>
        <w:rPr>
          <w:i/>
          <w:iCs/>
        </w:rPr>
        <w:t xml:space="preserve">, </w:t>
      </w:r>
      <w:r w:rsidRPr="00012437">
        <w:rPr>
          <w:b/>
          <w:bCs/>
          <w:i/>
          <w:iCs/>
        </w:rPr>
        <w:t>SOX2</w:t>
      </w:r>
      <w:r>
        <w:rPr>
          <w:i/>
          <w:iCs/>
        </w:rPr>
        <w:t xml:space="preserve">, </w:t>
      </w:r>
      <w:r w:rsidRPr="00012437">
        <w:rPr>
          <w:i/>
          <w:iCs/>
          <w:color w:val="EE0000"/>
        </w:rPr>
        <w:t>HES1</w:t>
      </w:r>
      <w:r>
        <w:rPr>
          <w:i/>
          <w:iCs/>
        </w:rPr>
        <w:t xml:space="preserve">, </w:t>
      </w:r>
      <w:r w:rsidRPr="00012437">
        <w:rPr>
          <w:b/>
          <w:bCs/>
          <w:i/>
          <w:iCs/>
        </w:rPr>
        <w:t>ID3, HES6</w:t>
      </w:r>
    </w:p>
    <w:p w14:paraId="5E0BC5ED" w14:textId="6E94EAA9" w:rsidR="00673B23" w:rsidRDefault="00012437">
      <w:pPr>
        <w:rPr>
          <w:i/>
          <w:iCs/>
        </w:rPr>
      </w:pPr>
      <w:r>
        <w:rPr>
          <w:b/>
          <w:bCs/>
        </w:rPr>
        <w:t>L</w:t>
      </w:r>
      <w:r w:rsidR="00673B23" w:rsidRPr="00673B23">
        <w:rPr>
          <w:b/>
          <w:bCs/>
        </w:rPr>
        <w:t>ate RPC markers</w:t>
      </w:r>
      <w:r w:rsidR="00673B23">
        <w:t xml:space="preserve"> such as </w:t>
      </w:r>
      <w:r w:rsidR="00673B23">
        <w:rPr>
          <w:i/>
          <w:iCs/>
        </w:rPr>
        <w:t>CCND1, ASCL1</w:t>
      </w:r>
      <w:r w:rsidR="00673B23">
        <w:t xml:space="preserve"> and </w:t>
      </w:r>
      <w:r w:rsidR="00673B23">
        <w:rPr>
          <w:i/>
          <w:iCs/>
        </w:rPr>
        <w:t>HES6</w:t>
      </w:r>
    </w:p>
    <w:p w14:paraId="54499112" w14:textId="77777777" w:rsidR="00012437" w:rsidRDefault="00012437">
      <w:pPr>
        <w:rPr>
          <w:i/>
          <w:iCs/>
        </w:rPr>
      </w:pPr>
    </w:p>
    <w:p w14:paraId="073EEFAF" w14:textId="7BF41BBD" w:rsidR="00673B23" w:rsidRDefault="00673B23">
      <w:r w:rsidRPr="00673B23">
        <w:rPr>
          <w:b/>
          <w:bCs/>
        </w:rPr>
        <w:t>proliferating cone photoreceptor cluster</w:t>
      </w:r>
      <w:r>
        <w:t xml:space="preserve"> marked by high expression of proliferation (</w:t>
      </w:r>
      <w:r>
        <w:rPr>
          <w:i/>
          <w:iCs/>
        </w:rPr>
        <w:t>TOP2A, PCNA</w:t>
      </w:r>
      <w:r>
        <w:t>),</w:t>
      </w:r>
    </w:p>
    <w:p w14:paraId="34AE521C" w14:textId="64629AAD" w:rsidR="00673B23" w:rsidRDefault="00673B23">
      <w:pPr>
        <w:rPr>
          <w:i/>
          <w:iCs/>
        </w:rPr>
      </w:pPr>
      <w:r w:rsidRPr="00D50DB8">
        <w:rPr>
          <w:b/>
          <w:bCs/>
        </w:rPr>
        <w:t>Muller glia cell cluster</w:t>
      </w:r>
      <w:r>
        <w:t xml:space="preserve"> was found with high expression of </w:t>
      </w:r>
      <w:r>
        <w:rPr>
          <w:i/>
          <w:iCs/>
        </w:rPr>
        <w:t>RLBP1, SLC1A3, APOE, VIM, CLU, SOX9</w:t>
      </w:r>
    </w:p>
    <w:p w14:paraId="492621EE" w14:textId="77777777" w:rsidR="00D50DB8" w:rsidRDefault="00D50DB8">
      <w:pPr>
        <w:rPr>
          <w:i/>
          <w:iCs/>
        </w:rPr>
      </w:pPr>
    </w:p>
    <w:p w14:paraId="6194F00D" w14:textId="7FBFE415" w:rsidR="00D50DB8" w:rsidRDefault="00D50DB8">
      <w:pPr>
        <w:rPr>
          <w:i/>
          <w:iCs/>
        </w:rPr>
      </w:pPr>
      <w:r>
        <w:rPr>
          <w:i/>
          <w:iCs/>
        </w:rPr>
        <w:t xml:space="preserve">Liu et al, Science </w:t>
      </w:r>
      <w:proofErr w:type="spellStart"/>
      <w:r>
        <w:rPr>
          <w:i/>
          <w:iCs/>
        </w:rPr>
        <w:t>Transl</w:t>
      </w:r>
      <w:proofErr w:type="spellEnd"/>
    </w:p>
    <w:p w14:paraId="7B75FEA0" w14:textId="4A6147A8" w:rsidR="00D50DB8" w:rsidRDefault="00D50DB8">
      <w:pPr>
        <w:rPr>
          <w:i/>
          <w:iCs/>
        </w:rPr>
      </w:pPr>
      <w:r w:rsidRPr="00D50DB8">
        <w:rPr>
          <w:b/>
          <w:bCs/>
        </w:rPr>
        <w:t>Stem1</w:t>
      </w:r>
      <w:r>
        <w:t xml:space="preserve"> was characterized by the high expression of specific stemness-related genes such as </w:t>
      </w:r>
      <w:r>
        <w:rPr>
          <w:i/>
          <w:iCs/>
        </w:rPr>
        <w:t>MECOM</w:t>
      </w:r>
      <w:r>
        <w:t xml:space="preserve">, </w:t>
      </w:r>
      <w:r>
        <w:rPr>
          <w:i/>
          <w:iCs/>
        </w:rPr>
        <w:t>COL9A1</w:t>
      </w:r>
      <w:r>
        <w:t xml:space="preserve">, </w:t>
      </w:r>
      <w:r>
        <w:rPr>
          <w:i/>
          <w:iCs/>
        </w:rPr>
        <w:t>RELN</w:t>
      </w:r>
      <w:r>
        <w:t xml:space="preserve">, and </w:t>
      </w:r>
      <w:r>
        <w:rPr>
          <w:i/>
          <w:iCs/>
        </w:rPr>
        <w:t>PCDH7…</w:t>
      </w:r>
      <w:r>
        <w:t xml:space="preserve">including </w:t>
      </w:r>
      <w:r w:rsidRPr="00012437">
        <w:rPr>
          <w:i/>
          <w:iCs/>
          <w:color w:val="EE0000"/>
        </w:rPr>
        <w:t>ZIC1</w:t>
      </w:r>
      <w:r>
        <w:t xml:space="preserve">, and pivotal genes like </w:t>
      </w:r>
      <w:r>
        <w:rPr>
          <w:i/>
          <w:iCs/>
        </w:rPr>
        <w:t>CPAMD8</w:t>
      </w:r>
      <w:r>
        <w:t xml:space="preserve">, </w:t>
      </w:r>
      <w:r>
        <w:rPr>
          <w:i/>
          <w:iCs/>
        </w:rPr>
        <w:t>MEIS1</w:t>
      </w:r>
      <w:r>
        <w:t xml:space="preserve">, and </w:t>
      </w:r>
      <w:r>
        <w:rPr>
          <w:i/>
          <w:iCs/>
        </w:rPr>
        <w:t>TGF</w:t>
      </w:r>
      <w:r>
        <w:t>β</w:t>
      </w:r>
      <w:r>
        <w:rPr>
          <w:i/>
          <w:iCs/>
        </w:rPr>
        <w:t>2</w:t>
      </w:r>
    </w:p>
    <w:p w14:paraId="503D8C32" w14:textId="065031EC" w:rsidR="00D50DB8" w:rsidRDefault="00D50DB8">
      <w:pPr>
        <w:rPr>
          <w:i/>
          <w:iCs/>
        </w:rPr>
      </w:pPr>
      <w:r w:rsidRPr="00D50DB8">
        <w:rPr>
          <w:b/>
          <w:bCs/>
        </w:rPr>
        <w:t>Stem2</w:t>
      </w:r>
      <w:r>
        <w:t xml:space="preserve"> displayed a combination of stemness-related genes and with RPE development-associated genes, such as </w:t>
      </w:r>
      <w:r>
        <w:rPr>
          <w:i/>
          <w:iCs/>
        </w:rPr>
        <w:t>GJA1</w:t>
      </w:r>
      <w:r>
        <w:t xml:space="preserve">, </w:t>
      </w:r>
      <w:r>
        <w:rPr>
          <w:i/>
          <w:iCs/>
        </w:rPr>
        <w:t>PCDH7</w:t>
      </w:r>
      <w:r>
        <w:t xml:space="preserve">, </w:t>
      </w:r>
      <w:r>
        <w:rPr>
          <w:i/>
          <w:iCs/>
        </w:rPr>
        <w:t>RELN</w:t>
      </w:r>
      <w:r>
        <w:t xml:space="preserve">, </w:t>
      </w:r>
      <w:r>
        <w:rPr>
          <w:i/>
          <w:iCs/>
        </w:rPr>
        <w:t>SLC6A15</w:t>
      </w:r>
      <w:r>
        <w:t xml:space="preserve">, </w:t>
      </w:r>
      <w:r>
        <w:rPr>
          <w:i/>
          <w:iCs/>
        </w:rPr>
        <w:t>MITF</w:t>
      </w:r>
      <w:r>
        <w:t xml:space="preserve">, and </w:t>
      </w:r>
      <w:r>
        <w:rPr>
          <w:i/>
          <w:iCs/>
        </w:rPr>
        <w:t>PMEL</w:t>
      </w:r>
    </w:p>
    <w:p w14:paraId="56BE8915" w14:textId="77777777" w:rsidR="00D50DB8" w:rsidRDefault="00D50DB8">
      <w:pPr>
        <w:rPr>
          <w:i/>
          <w:iCs/>
        </w:rPr>
      </w:pPr>
    </w:p>
    <w:p w14:paraId="4C8FCC63" w14:textId="3B8B6148" w:rsidR="00D50DB8" w:rsidRDefault="00D50DB8">
      <w:proofErr w:type="spellStart"/>
      <w:r>
        <w:t>hNRSCs</w:t>
      </w:r>
      <w:proofErr w:type="spellEnd"/>
      <w:r>
        <w:t xml:space="preserve"> have the capability to differentiate into major retinal cell types, including </w:t>
      </w:r>
      <w:r w:rsidRPr="00D50DB8">
        <w:rPr>
          <w:b/>
          <w:bCs/>
        </w:rPr>
        <w:t>RPCs</w:t>
      </w:r>
      <w:r>
        <w:t xml:space="preserve"> (PAX6</w:t>
      </w:r>
      <w:r>
        <w:rPr>
          <w:vertAlign w:val="superscript"/>
        </w:rPr>
        <w:t>+</w:t>
      </w:r>
      <w:r>
        <w:t>/SOX2</w:t>
      </w:r>
      <w:r>
        <w:rPr>
          <w:vertAlign w:val="superscript"/>
        </w:rPr>
        <w:t>+</w:t>
      </w:r>
      <w:r>
        <w:t xml:space="preserve">), </w:t>
      </w:r>
      <w:r w:rsidRPr="00D50DB8">
        <w:rPr>
          <w:b/>
          <w:bCs/>
        </w:rPr>
        <w:t xml:space="preserve">RGCs </w:t>
      </w:r>
      <w:r>
        <w:t>(PAX6</w:t>
      </w:r>
      <w:r>
        <w:rPr>
          <w:vertAlign w:val="superscript"/>
        </w:rPr>
        <w:t>+</w:t>
      </w:r>
      <w:r>
        <w:t>/SOX2</w:t>
      </w:r>
      <w:r>
        <w:rPr>
          <w:vertAlign w:val="superscript"/>
        </w:rPr>
        <w:t>−</w:t>
      </w:r>
      <w:r>
        <w:t xml:space="preserve"> or BRN3A</w:t>
      </w:r>
      <w:r>
        <w:rPr>
          <w:vertAlign w:val="superscript"/>
        </w:rPr>
        <w:t>+</w:t>
      </w:r>
      <w:r>
        <w:t xml:space="preserve">), </w:t>
      </w:r>
      <w:r w:rsidRPr="00D50DB8">
        <w:rPr>
          <w:b/>
          <w:bCs/>
        </w:rPr>
        <w:t>HCs/ACs</w:t>
      </w:r>
      <w:r>
        <w:t xml:space="preserve"> (PROX1</w:t>
      </w:r>
      <w:r>
        <w:rPr>
          <w:vertAlign w:val="superscript"/>
        </w:rPr>
        <w:t>+</w:t>
      </w:r>
      <w:r>
        <w:t xml:space="preserve">), </w:t>
      </w:r>
      <w:r w:rsidRPr="00D50DB8">
        <w:rPr>
          <w:b/>
          <w:bCs/>
        </w:rPr>
        <w:t>PC precursors</w:t>
      </w:r>
      <w:r>
        <w:t xml:space="preserve"> (CRX</w:t>
      </w:r>
      <w:r>
        <w:rPr>
          <w:vertAlign w:val="superscript"/>
        </w:rPr>
        <w:t>+</w:t>
      </w:r>
      <w:r>
        <w:t xml:space="preserve">), </w:t>
      </w:r>
      <w:r w:rsidRPr="00D50DB8">
        <w:rPr>
          <w:b/>
          <w:bCs/>
        </w:rPr>
        <w:t xml:space="preserve">PCs </w:t>
      </w:r>
      <w:r>
        <w:t>(NRL</w:t>
      </w:r>
      <w:r>
        <w:rPr>
          <w:vertAlign w:val="superscript"/>
        </w:rPr>
        <w:t>+</w:t>
      </w:r>
      <w:r>
        <w:t xml:space="preserve"> or ARR3</w:t>
      </w:r>
      <w:r>
        <w:rPr>
          <w:vertAlign w:val="superscript"/>
        </w:rPr>
        <w:t>+</w:t>
      </w:r>
      <w:r>
        <w:t xml:space="preserve">), </w:t>
      </w:r>
      <w:r w:rsidRPr="00D50DB8">
        <w:rPr>
          <w:b/>
          <w:bCs/>
        </w:rPr>
        <w:t>BCs</w:t>
      </w:r>
      <w:r>
        <w:t xml:space="preserve"> (CHX10</w:t>
      </w:r>
      <w:r>
        <w:rPr>
          <w:vertAlign w:val="superscript"/>
        </w:rPr>
        <w:t>+</w:t>
      </w:r>
      <w:r>
        <w:t xml:space="preserve">), and </w:t>
      </w:r>
      <w:r w:rsidRPr="00D50DB8">
        <w:rPr>
          <w:b/>
          <w:bCs/>
        </w:rPr>
        <w:t>MCs</w:t>
      </w:r>
      <w:r>
        <w:t xml:space="preserve"> (RLBP1</w:t>
      </w:r>
      <w:r>
        <w:rPr>
          <w:vertAlign w:val="superscript"/>
        </w:rPr>
        <w:t>+</w:t>
      </w:r>
      <w:r>
        <w:t>, VIM</w:t>
      </w:r>
      <w:r>
        <w:rPr>
          <w:vertAlign w:val="superscript"/>
        </w:rPr>
        <w:t>+</w:t>
      </w:r>
      <w:r>
        <w:t xml:space="preserve"> or SOX9</w:t>
      </w:r>
      <w:r>
        <w:rPr>
          <w:vertAlign w:val="superscript"/>
        </w:rPr>
        <w:t>+</w:t>
      </w:r>
      <w:r>
        <w:t>) (</w:t>
      </w:r>
      <w:hyperlink r:id="rId6" w:history="1">
        <w:r>
          <w:rPr>
            <w:rStyle w:val="Hyperlink"/>
          </w:rPr>
          <w:t>Fig. 2H</w:t>
        </w:r>
      </w:hyperlink>
      <w:r>
        <w:t xml:space="preserve"> and fig. S6, D and E).</w:t>
      </w:r>
    </w:p>
    <w:p w14:paraId="77E09984" w14:textId="6213A66B" w:rsidR="00D50DB8" w:rsidRDefault="00D50DB8">
      <w:r>
        <w:t xml:space="preserve">In addition to </w:t>
      </w:r>
      <w:r>
        <w:rPr>
          <w:i/>
          <w:iCs/>
        </w:rPr>
        <w:t>MECOM</w:t>
      </w:r>
      <w:r>
        <w:t xml:space="preserve">, other TFs such as </w:t>
      </w:r>
      <w:r>
        <w:rPr>
          <w:i/>
          <w:iCs/>
        </w:rPr>
        <w:t>TBX20</w:t>
      </w:r>
      <w:r>
        <w:t xml:space="preserve">, </w:t>
      </w:r>
      <w:r>
        <w:rPr>
          <w:i/>
          <w:iCs/>
        </w:rPr>
        <w:t>THRB</w:t>
      </w:r>
      <w:r>
        <w:t xml:space="preserve">, and </w:t>
      </w:r>
      <w:r>
        <w:rPr>
          <w:i/>
          <w:iCs/>
        </w:rPr>
        <w:t>NFIA</w:t>
      </w:r>
      <w:r>
        <w:t xml:space="preserve"> were also identified as highly active in </w:t>
      </w:r>
      <w:proofErr w:type="spellStart"/>
      <w:r>
        <w:t>hNRSCs</w:t>
      </w:r>
      <w:proofErr w:type="spellEnd"/>
      <w:r>
        <w:t>,</w:t>
      </w:r>
    </w:p>
    <w:p w14:paraId="4719160B" w14:textId="7426C954" w:rsidR="00012437" w:rsidRPr="00012437" w:rsidRDefault="00012437">
      <w:pPr>
        <w:rPr>
          <w:b/>
          <w:bCs/>
          <w:u w:val="single"/>
        </w:rPr>
      </w:pPr>
      <w:r w:rsidRPr="00012437">
        <w:rPr>
          <w:b/>
          <w:bCs/>
          <w:u w:val="single"/>
        </w:rPr>
        <w:lastRenderedPageBreak/>
        <w:t>Aggregate list of retinal stem cell markers</w:t>
      </w:r>
    </w:p>
    <w:p w14:paraId="101EBC93" w14:textId="573D26E4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SFRP2</w:t>
      </w:r>
    </w:p>
    <w:p w14:paraId="3D2A4255" w14:textId="4A7DABE5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RAX</w:t>
      </w:r>
    </w:p>
    <w:p w14:paraId="33A0370C" w14:textId="31974E1C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PAX6</w:t>
      </w:r>
    </w:p>
    <w:p w14:paraId="748B290D" w14:textId="31D771C2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VSX2</w:t>
      </w:r>
    </w:p>
    <w:p w14:paraId="7DE44753" w14:textId="658B0C17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ZIC2</w:t>
      </w:r>
    </w:p>
    <w:p w14:paraId="14767A2F" w14:textId="1ED13C4F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 xml:space="preserve">ZIC1 </w:t>
      </w:r>
    </w:p>
    <w:p w14:paraId="704BCF5D" w14:textId="77777777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 xml:space="preserve">SIX3, </w:t>
      </w:r>
    </w:p>
    <w:p w14:paraId="76A5E6EE" w14:textId="067804FA" w:rsidR="00012437" w:rsidRPr="00012437" w:rsidRDefault="00012437" w:rsidP="00012437">
      <w:pPr>
        <w:rPr>
          <w:color w:val="000000" w:themeColor="text1"/>
        </w:rPr>
      </w:pPr>
      <w:r w:rsidRPr="00012437">
        <w:rPr>
          <w:i/>
          <w:iCs/>
          <w:color w:val="000000" w:themeColor="text1"/>
        </w:rPr>
        <w:t>SIX6</w:t>
      </w:r>
    </w:p>
    <w:p w14:paraId="0D6F8D57" w14:textId="77777777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DAPL1,</w:t>
      </w:r>
    </w:p>
    <w:p w14:paraId="6356B092" w14:textId="4A0AE3C8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 xml:space="preserve">HES1, </w:t>
      </w:r>
    </w:p>
    <w:p w14:paraId="55993D02" w14:textId="77DC288D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HMGA1</w:t>
      </w:r>
    </w:p>
    <w:p w14:paraId="204C36C5" w14:textId="77BDAF6E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 xml:space="preserve">MKi67 </w:t>
      </w:r>
    </w:p>
    <w:p w14:paraId="66C01AAE" w14:textId="6009EC5E" w:rsidR="00012437" w:rsidRPr="00012437" w:rsidRDefault="00012437" w:rsidP="00012437">
      <w:pPr>
        <w:rPr>
          <w:color w:val="000000" w:themeColor="text1"/>
        </w:rPr>
      </w:pPr>
      <w:r w:rsidRPr="00012437">
        <w:rPr>
          <w:i/>
          <w:iCs/>
          <w:color w:val="000000" w:themeColor="text1"/>
        </w:rPr>
        <w:t>TOP2A</w:t>
      </w:r>
      <w:r w:rsidRPr="00012437">
        <w:rPr>
          <w:color w:val="000000" w:themeColor="text1"/>
        </w:rPr>
        <w:t xml:space="preserve"> </w:t>
      </w:r>
    </w:p>
    <w:p w14:paraId="7CF07E83" w14:textId="77777777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 xml:space="preserve">SOX2, </w:t>
      </w:r>
    </w:p>
    <w:p w14:paraId="738B8219" w14:textId="77777777" w:rsidR="00012437" w:rsidRP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 xml:space="preserve">ID3, </w:t>
      </w:r>
    </w:p>
    <w:p w14:paraId="72C65C00" w14:textId="313258F5" w:rsidR="00012437" w:rsidRDefault="00012437" w:rsidP="00012437">
      <w:pPr>
        <w:rPr>
          <w:i/>
          <w:iCs/>
          <w:color w:val="000000" w:themeColor="text1"/>
        </w:rPr>
      </w:pPr>
      <w:r w:rsidRPr="00012437">
        <w:rPr>
          <w:i/>
          <w:iCs/>
          <w:color w:val="000000" w:themeColor="text1"/>
        </w:rPr>
        <w:t>HES6</w:t>
      </w:r>
    </w:p>
    <w:p w14:paraId="4ECB2A80" w14:textId="2FF23D43" w:rsidR="00012437" w:rsidRDefault="00012437" w:rsidP="00012437">
      <w:r>
        <w:rPr>
          <w:i/>
          <w:iCs/>
        </w:rPr>
        <w:t>MECOM</w:t>
      </w:r>
    </w:p>
    <w:p w14:paraId="6AAEC38A" w14:textId="7B24F799" w:rsidR="00012437" w:rsidRDefault="00012437" w:rsidP="00012437">
      <w:r>
        <w:rPr>
          <w:i/>
          <w:iCs/>
        </w:rPr>
        <w:t>COL9A1</w:t>
      </w:r>
    </w:p>
    <w:p w14:paraId="3A1BFFA7" w14:textId="2EEBDFE5" w:rsidR="00012437" w:rsidRDefault="00012437" w:rsidP="00012437">
      <w:r>
        <w:rPr>
          <w:i/>
          <w:iCs/>
        </w:rPr>
        <w:t>RELN</w:t>
      </w:r>
    </w:p>
    <w:p w14:paraId="57AF597A" w14:textId="65CED271" w:rsidR="00012437" w:rsidRDefault="00012437" w:rsidP="00012437">
      <w:r>
        <w:rPr>
          <w:i/>
          <w:iCs/>
        </w:rPr>
        <w:t>PCDH7</w:t>
      </w:r>
    </w:p>
    <w:p w14:paraId="4BD28EE8" w14:textId="656422AF" w:rsidR="00012437" w:rsidRDefault="00012437" w:rsidP="00012437">
      <w:r>
        <w:rPr>
          <w:i/>
          <w:iCs/>
        </w:rPr>
        <w:t>CPAMD8</w:t>
      </w:r>
      <w:r>
        <w:t xml:space="preserve"> </w:t>
      </w:r>
    </w:p>
    <w:p w14:paraId="4077118B" w14:textId="32E8D531" w:rsidR="00012437" w:rsidRDefault="00012437" w:rsidP="00012437">
      <w:r>
        <w:rPr>
          <w:i/>
          <w:iCs/>
        </w:rPr>
        <w:t>MEIS1</w:t>
      </w:r>
      <w:r>
        <w:t xml:space="preserve"> </w:t>
      </w:r>
    </w:p>
    <w:p w14:paraId="30C21C6F" w14:textId="075E1C79" w:rsidR="00012437" w:rsidRPr="00012437" w:rsidRDefault="00012437" w:rsidP="00012437">
      <w:r>
        <w:rPr>
          <w:i/>
          <w:iCs/>
        </w:rPr>
        <w:t>TGF</w:t>
      </w:r>
      <w:r>
        <w:t>β</w:t>
      </w:r>
      <w:r>
        <w:rPr>
          <w:i/>
          <w:iCs/>
        </w:rPr>
        <w:t>2</w:t>
      </w:r>
    </w:p>
    <w:p w14:paraId="0BB3320B" w14:textId="77777777" w:rsidR="00012437" w:rsidRPr="00D50DB8" w:rsidRDefault="00012437">
      <w:pPr>
        <w:rPr>
          <w:i/>
          <w:iCs/>
        </w:rPr>
      </w:pPr>
    </w:p>
    <w:sectPr w:rsidR="00012437" w:rsidRPr="00D50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23"/>
    <w:rsid w:val="00012437"/>
    <w:rsid w:val="000700C9"/>
    <w:rsid w:val="00070354"/>
    <w:rsid w:val="001A0E86"/>
    <w:rsid w:val="00532CAA"/>
    <w:rsid w:val="00673B23"/>
    <w:rsid w:val="006A08A1"/>
    <w:rsid w:val="008C56F7"/>
    <w:rsid w:val="00D5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44780"/>
  <w15:chartTrackingRefBased/>
  <w15:docId w15:val="{9D342C4A-7242-174C-80FF-B830B163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73B2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3B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.org/doi/10.1126/scitranslmed.adp6864" TargetMode="External"/><Relationship Id="rId5" Type="http://schemas.openxmlformats.org/officeDocument/2006/relationships/hyperlink" Target="https://www.nature.com/articles/s41467-024-47933-x" TargetMode="External"/><Relationship Id="rId4" Type="http://schemas.openxmlformats.org/officeDocument/2006/relationships/hyperlink" Target="https://www.nature.com/articles/s41467-024-47933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261</Words>
  <Characters>1393</Characters>
  <Application>Microsoft Office Word</Application>
  <DocSecurity>0</DocSecurity>
  <Lines>54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Zambidis</dc:creator>
  <cp:keywords/>
  <dc:description/>
  <cp:lastModifiedBy>Elias Zambidis</cp:lastModifiedBy>
  <cp:revision>3</cp:revision>
  <dcterms:created xsi:type="dcterms:W3CDTF">2025-09-17T18:49:00Z</dcterms:created>
  <dcterms:modified xsi:type="dcterms:W3CDTF">2026-02-04T16:18:00Z</dcterms:modified>
</cp:coreProperties>
</file>