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35" w:rsidRDefault="006339EC">
      <w:r>
        <w:rPr>
          <w:rFonts w:hint="eastAsia"/>
        </w:rPr>
        <w:t>模型:</w:t>
      </w:r>
    </w:p>
    <w:p w:rsidR="006339EC" w:rsidRDefault="00286413">
      <w:r>
        <w:rPr>
          <w:rFonts w:hint="eastAsia"/>
        </w:rPr>
        <w:t>整体模型框架图如下所示：</w:t>
      </w:r>
    </w:p>
    <w:p w:rsidR="00286413" w:rsidRDefault="00286413">
      <w:r>
        <w:rPr>
          <w:noProof/>
        </w:rPr>
        <w:drawing>
          <wp:inline distT="0" distB="0" distL="0" distR="0" wp14:anchorId="0A1082D0" wp14:editId="42B3C3F3">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8105"/>
                    </a:xfrm>
                    <a:prstGeom prst="rect">
                      <a:avLst/>
                    </a:prstGeom>
                  </pic:spPr>
                </pic:pic>
              </a:graphicData>
            </a:graphic>
          </wp:inline>
        </w:drawing>
      </w:r>
    </w:p>
    <w:p w:rsidR="00286413" w:rsidRDefault="00286413">
      <w:r>
        <w:rPr>
          <w:rFonts w:hint="eastAsia"/>
        </w:rPr>
        <w:t>问题定义:</w:t>
      </w:r>
    </w:p>
    <w:p w:rsidR="00286413" w:rsidRDefault="00286413">
      <w:r>
        <w:rPr>
          <w:rFonts w:hint="eastAsia"/>
        </w:rPr>
        <w:t>自动增强的目的是自动找到基于当前</w:t>
      </w:r>
      <w:r>
        <w:rPr>
          <w:rFonts w:hint="eastAsia"/>
        </w:rPr>
        <w:t>输入的数据集</w:t>
      </w:r>
      <w:r>
        <w:rPr>
          <w:rFonts w:hint="eastAsia"/>
        </w:rPr>
        <w:t>的数据增强策略，从而能更好的提升模型泛化性能。</w:t>
      </w:r>
      <w:r w:rsidR="007351CC">
        <w:rPr>
          <w:rFonts w:hint="eastAsia"/>
        </w:rPr>
        <w:t>假设当前存在k</w:t>
      </w:r>
      <w:proofErr w:type="gramStart"/>
      <w:r w:rsidR="007351CC">
        <w:rPr>
          <w:rFonts w:hint="eastAsia"/>
        </w:rPr>
        <w:t>种数据</w:t>
      </w:r>
      <w:proofErr w:type="gramEnd"/>
      <w:r w:rsidR="007351CC">
        <w:rPr>
          <w:rFonts w:hint="eastAsia"/>
        </w:rPr>
        <w:t>增强策略</w:t>
      </w:r>
      <m:oMath>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O</m:t>
                    </m:r>
                  </m:e>
                  <m:sub>
                    <m:r>
                      <m:rPr>
                        <m:sty m:val="p"/>
                      </m:rPr>
                      <w:rPr>
                        <w:rFonts w:ascii="Cambria Math" w:hAnsi="Cambria Math"/>
                      </w:rPr>
                      <m:t>k</m:t>
                    </m:r>
                  </m:sub>
                </m:sSub>
                <m:d>
                  <m:dPr>
                    <m:ctrlPr>
                      <w:rPr>
                        <w:rFonts w:ascii="Cambria Math" w:hAnsi="Cambria Math"/>
                      </w:rPr>
                    </m:ctrlPr>
                  </m:dPr>
                  <m:e>
                    <m:r>
                      <m:rPr>
                        <m:sty m:val="p"/>
                      </m:rPr>
                      <w:rPr>
                        <w:rFonts w:ascii="Cambria Math" w:hAnsi="Cambria Math"/>
                      </w:rPr>
                      <m:t>.</m:t>
                    </m:r>
                  </m:e>
                </m:d>
              </m:e>
            </m:d>
          </m:e>
          <m:sub>
            <m:r>
              <m:rPr>
                <m:sty m:val="p"/>
              </m:rPr>
              <w:rPr>
                <w:rFonts w:ascii="Cambria Math" w:hAnsi="Cambria Math"/>
              </w:rPr>
              <m:t>1…k</m:t>
            </m:r>
          </m:sub>
        </m:sSub>
      </m:oMath>
      <w:r w:rsidR="007351CC">
        <w:rPr>
          <w:rFonts w:hint="eastAsia"/>
        </w:rPr>
        <w:t>，每种策略的概率为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m:t>
        </m:r>
      </m:oMath>
      <w:r w:rsidR="007351CC">
        <w:rPr>
          <w:rFonts w:hint="eastAsia"/>
        </w:rPr>
        <w:t>，给定一个网络模型</w:t>
      </w:r>
      <m:oMath>
        <m:r>
          <m:rPr>
            <m:sty m:val="p"/>
          </m:rPr>
          <w:rPr>
            <w:rFonts w:ascii="Cambria Math" w:hAnsi="Cambria Math"/>
          </w:rPr>
          <m:t>F(.,W)</m:t>
        </m:r>
      </m:oMath>
      <w:r w:rsidR="007351CC">
        <w:rPr>
          <w:rFonts w:hint="eastAsia"/>
        </w:rPr>
        <w:t>，其中W为模型的参数。</w:t>
      </w:r>
      <w:r w:rsidR="00480A1F">
        <w:rPr>
          <w:rFonts w:hint="eastAsia"/>
        </w:rPr>
        <w:t>训练集和测试集分别为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tr</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sup>
        </m:sSubSup>
      </m:oMath>
      <w:r w:rsidR="008B6188">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val</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val</m:t>
                </m:r>
              </m:sub>
            </m:sSub>
            <m:r>
              <w:rPr>
                <w:rFonts w:ascii="Cambria Math" w:hAnsi="Cambria Math"/>
              </w:rPr>
              <m:t>r</m:t>
            </m:r>
          </m:sup>
        </m:sSubSup>
      </m:oMath>
      <w:r w:rsidR="008B6188">
        <w:rPr>
          <w:rFonts w:hint="eastAsia"/>
        </w:rPr>
        <w:t>。</w:t>
      </w:r>
      <w:r w:rsidR="005324E7">
        <w:rPr>
          <w:rFonts w:hint="eastAsia"/>
        </w:rPr>
        <w:t>当前框架的损失函数如下，并且该损失函数的优化为双层优化问题。</w:t>
      </w:r>
    </w:p>
    <w:p w:rsidR="005324E7" w:rsidRDefault="005324E7" w:rsidP="005324E7">
      <w:pPr>
        <w:jc w:val="center"/>
      </w:pPr>
      <w:r>
        <w:rPr>
          <w:noProof/>
        </w:rPr>
        <w:drawing>
          <wp:inline distT="0" distB="0" distL="0" distR="0" wp14:anchorId="5153B858" wp14:editId="5F0C5797">
            <wp:extent cx="3967701" cy="10469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5028" cy="1051482"/>
                    </a:xfrm>
                    <a:prstGeom prst="rect">
                      <a:avLst/>
                    </a:prstGeom>
                  </pic:spPr>
                </pic:pic>
              </a:graphicData>
            </a:graphic>
          </wp:inline>
        </w:drawing>
      </w:r>
    </w:p>
    <w:p w:rsidR="005324E7" w:rsidRDefault="002D744A" w:rsidP="005324E7">
      <w:r>
        <w:rPr>
          <w:rFonts w:hint="eastAsia"/>
        </w:rPr>
        <w:t>框架结构:</w:t>
      </w:r>
    </w:p>
    <w:p w:rsidR="002D744A" w:rsidRDefault="002D744A" w:rsidP="005324E7">
      <w:pPr>
        <w:rPr>
          <w:rFonts w:hint="eastAsia"/>
        </w:rPr>
      </w:pPr>
      <w:r>
        <w:rPr>
          <w:rFonts w:hint="eastAsia"/>
        </w:rPr>
        <w:t>当前方法的提出受到之前</w:t>
      </w:r>
      <w:r w:rsidR="00D52055">
        <w:rPr>
          <w:rFonts w:hint="eastAsia"/>
        </w:rPr>
        <w:t>提出的[</w:t>
      </w:r>
      <w:r w:rsidR="00D52055">
        <w:t>1]</w:t>
      </w:r>
      <w:r w:rsidR="00D52055">
        <w:rPr>
          <w:rFonts w:hint="eastAsia"/>
        </w:rPr>
        <w:t>的影响，同时优化模型参数和超参数的选择策略。</w:t>
      </w:r>
      <w:r w:rsidR="00DA5231">
        <w:rPr>
          <w:rFonts w:hint="eastAsia"/>
        </w:rPr>
        <w:t>因此，包括两个循环，外层循环T，</w:t>
      </w:r>
      <w:r w:rsidR="00DA5231">
        <w:t>1...T(max)</w:t>
      </w:r>
      <w:r w:rsidR="00DA5231">
        <w:rPr>
          <w:rFonts w:hint="eastAsia"/>
        </w:rPr>
        <w:t>，内层循环</w:t>
      </w:r>
      <w:proofErr w:type="spellStart"/>
      <w:r w:rsidR="00DA5231">
        <w:t>i</w:t>
      </w:r>
      <w:proofErr w:type="spellEnd"/>
      <w:r w:rsidR="00DA5231">
        <w:t xml:space="preserve"> 1.</w:t>
      </w:r>
      <w:r w:rsidR="00DA5231">
        <w:rPr>
          <w:rFonts w:hint="eastAsia"/>
        </w:rPr>
        <w:t>.I。</w:t>
      </w:r>
      <w:r w:rsidR="00EA129B">
        <w:rPr>
          <w:rFonts w:hint="eastAsia"/>
        </w:rPr>
        <w:t>对于每个批次中的一张图谱，从当前的数据增强概率分布中采样得到</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sub>
        </m:sSub>
      </m:oMath>
      <w:r w:rsidR="00EA129B">
        <w:rPr>
          <w:rFonts w:hint="eastAsia"/>
        </w:rPr>
        <w:t>，</w:t>
      </w:r>
      <m:oMath>
        <m:r>
          <m:rPr>
            <m:sty m:val="p"/>
          </m:rPr>
          <w:rPr>
            <w:rFonts w:ascii="Cambria Math" w:hAnsi="Cambria Math" w:hint="eastAsia"/>
          </w:rPr>
          <m:t>T</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k</m:t>
                    </m:r>
                    <m:d>
                      <m:dPr>
                        <m:ctrlPr>
                          <w:rPr>
                            <w:rFonts w:ascii="Cambria Math" w:hAnsi="Cambria Math"/>
                          </w:rPr>
                        </m:ctrlPr>
                      </m:dPr>
                      <m:e>
                        <m:r>
                          <m:rPr>
                            <m:sty m:val="p"/>
                          </m:rPr>
                          <w:rPr>
                            <w:rFonts w:ascii="Cambria Math" w:hAnsi="Cambria Math"/>
                          </w:rPr>
                          <m:t>j</m:t>
                        </m:r>
                      </m:e>
                    </m:d>
                  </m:sub>
                </m:sSub>
              </m:e>
            </m:d>
          </m:e>
          <m:sub>
            <m:r>
              <m:rPr>
                <m:sty m:val="p"/>
              </m:rPr>
              <w:rPr>
                <w:rFonts w:ascii="Cambria Math" w:hAnsi="Cambria Math"/>
              </w:rPr>
              <m:t>j=1..(I*B)</m:t>
            </m:r>
          </m:sub>
        </m:sSub>
      </m:oMath>
      <w:r w:rsidR="00EA129B">
        <w:rPr>
          <w:rFonts w:hint="eastAsia"/>
        </w:rPr>
        <w:t>，其中B为</w:t>
      </w:r>
      <w:proofErr w:type="spellStart"/>
      <w:r w:rsidR="00EA129B">
        <w:rPr>
          <w:rFonts w:hint="eastAsia"/>
        </w:rPr>
        <w:t>b</w:t>
      </w:r>
      <w:r w:rsidR="00EA129B">
        <w:t>atch</w:t>
      </w:r>
      <w:r w:rsidR="00EA129B">
        <w:rPr>
          <w:rFonts w:hint="eastAsia"/>
        </w:rPr>
        <w:t>s</w:t>
      </w:r>
      <w:r w:rsidR="00EA129B">
        <w:t>ize</w:t>
      </w:r>
      <w:proofErr w:type="spellEnd"/>
      <w:r w:rsidR="00EA129B">
        <w:rPr>
          <w:rFonts w:hint="eastAsia"/>
        </w:rPr>
        <w:t>，T表示为每一个e</w:t>
      </w:r>
      <w:r w:rsidR="00EA129B">
        <w:t>poch</w:t>
      </w:r>
      <w:r w:rsidR="00EA129B">
        <w:rPr>
          <w:rFonts w:hint="eastAsia"/>
        </w:rPr>
        <w:t>采样的到的增强概率分布集合，在内层循环的最后一步，参数更新如下所示。</w:t>
      </w:r>
    </w:p>
    <w:p w:rsidR="00EA129B" w:rsidRDefault="00EA129B" w:rsidP="00EA129B">
      <w:pPr>
        <w:jc w:val="center"/>
      </w:pPr>
      <w:r>
        <w:rPr>
          <w:noProof/>
        </w:rPr>
        <w:drawing>
          <wp:inline distT="0" distB="0" distL="0" distR="0" wp14:anchorId="26FF8FA6" wp14:editId="4408E043">
            <wp:extent cx="4029075" cy="781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781050"/>
                    </a:xfrm>
                    <a:prstGeom prst="rect">
                      <a:avLst/>
                    </a:prstGeom>
                  </pic:spPr>
                </pic:pic>
              </a:graphicData>
            </a:graphic>
          </wp:inline>
        </w:drawing>
      </w:r>
    </w:p>
    <w:p w:rsidR="00FA4DFC" w:rsidRDefault="00FA4DFC" w:rsidP="00FA4DFC"/>
    <w:p w:rsidR="003A4DDE" w:rsidRDefault="003A4DDE" w:rsidP="00FA4DFC"/>
    <w:p w:rsidR="003A4DDE" w:rsidRDefault="003A4DDE" w:rsidP="00FA4DFC"/>
    <w:p w:rsidR="003A4DDE" w:rsidRDefault="003A4DDE" w:rsidP="00FA4DFC"/>
    <w:p w:rsidR="003A4DDE" w:rsidRDefault="003A4DDE" w:rsidP="00FA4DFC"/>
    <w:p w:rsidR="00FA4DFC" w:rsidRDefault="00435C13" w:rsidP="00FA4DFC">
      <w:r>
        <w:rPr>
          <w:rFonts w:hint="eastAsia"/>
        </w:rPr>
        <w:lastRenderedPageBreak/>
        <w:t>增强策略的采样概率更新如下:</w:t>
      </w:r>
    </w:p>
    <w:p w:rsidR="00435C13" w:rsidRDefault="003A4DDE" w:rsidP="00A54F61">
      <w:pPr>
        <w:jc w:val="center"/>
      </w:pPr>
      <w:r>
        <w:rPr>
          <w:noProof/>
        </w:rPr>
        <w:drawing>
          <wp:inline distT="0" distB="0" distL="0" distR="0" wp14:anchorId="2E3DE843" wp14:editId="43F4D277">
            <wp:extent cx="4010025" cy="762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762000"/>
                    </a:xfrm>
                    <a:prstGeom prst="rect">
                      <a:avLst/>
                    </a:prstGeom>
                  </pic:spPr>
                </pic:pic>
              </a:graphicData>
            </a:graphic>
          </wp:inline>
        </w:drawing>
      </w:r>
    </w:p>
    <w:p w:rsidR="003A4DDE" w:rsidRDefault="00977046" w:rsidP="00FA4DFC">
      <w:r>
        <w:rPr>
          <w:rFonts w:hint="eastAsia"/>
        </w:rPr>
        <w:t>当前方法的设计思路源于利用</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d>
          <m:dPr>
            <m:ctrlPr>
              <w:rPr>
                <w:rFonts w:ascii="Cambria Math" w:hAnsi="Cambria Math"/>
                <w:i/>
              </w:rPr>
            </m:ctrlPr>
          </m:dPr>
          <m:e>
            <m:r>
              <w:rPr>
                <w:rFonts w:ascii="Cambria Math" w:hAnsi="Cambria Math"/>
              </w:rPr>
              <m:t>θ</m:t>
            </m:r>
          </m:e>
        </m:d>
      </m:oMath>
      <w:r>
        <w:rPr>
          <w:rFonts w:hint="eastAsia"/>
        </w:rPr>
        <w:t>训练T</w:t>
      </w:r>
      <w:proofErr w:type="gramStart"/>
      <w:r>
        <w:rPr>
          <w:rFonts w:hint="eastAsia"/>
        </w:rPr>
        <w:t>轮知道</w:t>
      </w:r>
      <w:proofErr w:type="gramEnd"/>
      <w:r>
        <w:rPr>
          <w:rFonts w:hint="eastAsia"/>
        </w:rPr>
        <w:t>收敛，而不是一直采用该概率分布到最后结束，在训练过程中，算法的外层循环会找到一个更有利的采样概率分布来最大化模型在验证集的模型效果。</w:t>
      </w:r>
      <w:r w:rsidR="00EF5B0C">
        <w:rPr>
          <w:rFonts w:hint="eastAsia"/>
        </w:rPr>
        <w:t>虽然不能保证收敛性</w:t>
      </w:r>
      <w:r w:rsidR="00EF5B0C">
        <w:rPr>
          <w:rFonts w:hint="eastAsia"/>
        </w:rPr>
        <w:t>和[</w:t>
      </w:r>
      <w:r w:rsidR="00EF5B0C">
        <w:t>2]</w:t>
      </w:r>
      <w:r w:rsidR="00EF5B0C">
        <w:rPr>
          <w:rFonts w:hint="eastAsia"/>
        </w:rPr>
        <w:t>一样</w:t>
      </w:r>
      <w:r w:rsidR="00973836">
        <w:rPr>
          <w:rFonts w:hint="eastAsia"/>
        </w:rPr>
        <w:t>，但实际上</w:t>
      </w:r>
      <w:r w:rsidR="00EF5B0C">
        <w:rPr>
          <w:rFonts w:hint="eastAsia"/>
        </w:rPr>
        <w:t>作为我们的实验，优化可以达到一个固定的点</w:t>
      </w:r>
      <w:r w:rsidR="008747DA">
        <w:rPr>
          <w:rFonts w:hint="eastAsia"/>
        </w:rPr>
        <w:t>也被证明了。</w:t>
      </w:r>
    </w:p>
    <w:p w:rsidR="00063322" w:rsidRDefault="00063322" w:rsidP="00FA4DFC"/>
    <w:p w:rsidR="00063322" w:rsidRDefault="00063322" w:rsidP="00FA4DFC">
      <w:r>
        <w:rPr>
          <w:rFonts w:hint="eastAsia"/>
        </w:rPr>
        <w:t>算法的框图:</w:t>
      </w:r>
    </w:p>
    <w:p w:rsidR="00063322" w:rsidRDefault="009209F1" w:rsidP="009209F1">
      <w:pPr>
        <w:jc w:val="center"/>
      </w:pPr>
      <w:r>
        <w:rPr>
          <w:noProof/>
        </w:rPr>
        <w:drawing>
          <wp:inline distT="0" distB="0" distL="0" distR="0" wp14:anchorId="7ACD96BE" wp14:editId="295CFE46">
            <wp:extent cx="3584962" cy="3065981"/>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6384" cy="3084302"/>
                    </a:xfrm>
                    <a:prstGeom prst="rect">
                      <a:avLst/>
                    </a:prstGeom>
                  </pic:spPr>
                </pic:pic>
              </a:graphicData>
            </a:graphic>
          </wp:inline>
        </w:drawing>
      </w:r>
    </w:p>
    <w:p w:rsidR="00177CF4" w:rsidRDefault="00177CF4" w:rsidP="00177CF4">
      <w:pPr>
        <w:jc w:val="center"/>
        <w:rPr>
          <w:rFonts w:hint="eastAsia"/>
        </w:rPr>
      </w:pPr>
      <w:r>
        <w:rPr>
          <w:noProof/>
        </w:rPr>
        <w:drawing>
          <wp:inline distT="0" distB="0" distL="0" distR="0" wp14:anchorId="6E5286DD" wp14:editId="17F6DFEE">
            <wp:extent cx="2830665" cy="2691332"/>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665" cy="2691332"/>
                    </a:xfrm>
                    <a:prstGeom prst="rect">
                      <a:avLst/>
                    </a:prstGeom>
                  </pic:spPr>
                </pic:pic>
              </a:graphicData>
            </a:graphic>
          </wp:inline>
        </w:drawing>
      </w:r>
    </w:p>
    <w:p w:rsidR="009209F1" w:rsidRDefault="009209F1" w:rsidP="009209F1">
      <w:r>
        <w:rPr>
          <w:rFonts w:hint="eastAsia"/>
        </w:rPr>
        <w:t>实验结果：</w:t>
      </w:r>
    </w:p>
    <w:p w:rsidR="009209F1" w:rsidRPr="008747DA" w:rsidRDefault="009209F1" w:rsidP="009209F1">
      <w:pPr>
        <w:rPr>
          <w:rFonts w:hint="eastAsia"/>
        </w:rPr>
      </w:pPr>
      <w:bookmarkStart w:id="0" w:name="_GoBack"/>
      <w:bookmarkEnd w:id="0"/>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p>
    <w:p w:rsidR="00C4435D" w:rsidRDefault="00C4435D" w:rsidP="002D744A">
      <w:pPr>
        <w:autoSpaceDE w:val="0"/>
        <w:autoSpaceDN w:val="0"/>
        <w:adjustRightInd w:val="0"/>
        <w:jc w:val="left"/>
      </w:pPr>
      <w:r>
        <w:rPr>
          <w:rFonts w:hint="eastAsia"/>
        </w:rPr>
        <w:t>参考文献</w:t>
      </w:r>
    </w:p>
    <w:p w:rsidR="002D744A" w:rsidRDefault="002D744A" w:rsidP="002D744A">
      <w:pPr>
        <w:autoSpaceDE w:val="0"/>
        <w:autoSpaceDN w:val="0"/>
        <w:adjustRightInd w:val="0"/>
        <w:jc w:val="left"/>
        <w:rPr>
          <w:rFonts w:ascii="NimbusRomNo9L-Regu" w:hAnsi="NimbusRomNo9L-Regu" w:cs="NimbusRomNo9L-Regu"/>
          <w:kern w:val="0"/>
          <w:sz w:val="18"/>
          <w:szCs w:val="18"/>
        </w:rPr>
      </w:pPr>
      <w:r>
        <w:rPr>
          <w:rFonts w:hint="eastAsia"/>
        </w:rPr>
        <w:t>[</w:t>
      </w:r>
      <w:r>
        <w:t xml:space="preserve">1] </w:t>
      </w:r>
      <w:r>
        <w:rPr>
          <w:rFonts w:ascii="NimbusRomNo9L-Regu" w:hAnsi="NimbusRomNo9L-Regu" w:cs="NimbusRomNo9L-Regu"/>
          <w:kern w:val="0"/>
          <w:sz w:val="18"/>
          <w:szCs w:val="18"/>
        </w:rPr>
        <w:t xml:space="preserve">Luca </w:t>
      </w:r>
      <w:proofErr w:type="spellStart"/>
      <w:r>
        <w:rPr>
          <w:rFonts w:ascii="NimbusRomNo9L-Regu" w:hAnsi="NimbusRomNo9L-Regu" w:cs="NimbusRomNo9L-Regu"/>
          <w:kern w:val="0"/>
          <w:sz w:val="18"/>
          <w:szCs w:val="18"/>
        </w:rPr>
        <w:t>Franceschi</w:t>
      </w:r>
      <w:proofErr w:type="spellEnd"/>
      <w:r>
        <w:rPr>
          <w:rFonts w:ascii="NimbusRomNo9L-Regu" w:hAnsi="NimbusRomNo9L-Regu" w:cs="NimbusRomNo9L-Regu"/>
          <w:kern w:val="0"/>
          <w:sz w:val="18"/>
          <w:szCs w:val="18"/>
        </w:rPr>
        <w:t xml:space="preserve">, Michele </w:t>
      </w:r>
      <w:proofErr w:type="spellStart"/>
      <w:r>
        <w:rPr>
          <w:rFonts w:ascii="NimbusRomNo9L-Regu" w:hAnsi="NimbusRomNo9L-Regu" w:cs="NimbusRomNo9L-Regu"/>
          <w:kern w:val="0"/>
          <w:sz w:val="18"/>
          <w:szCs w:val="18"/>
        </w:rPr>
        <w:t>Donini</w:t>
      </w:r>
      <w:proofErr w:type="spellEnd"/>
      <w:r>
        <w:rPr>
          <w:rFonts w:ascii="NimbusRomNo9L-Regu" w:hAnsi="NimbusRomNo9L-Regu" w:cs="NimbusRomNo9L-Regu"/>
          <w:kern w:val="0"/>
          <w:sz w:val="18"/>
          <w:szCs w:val="18"/>
        </w:rPr>
        <w:t>, P</w:t>
      </w:r>
      <w:r>
        <w:rPr>
          <w:rFonts w:ascii="NimbusRomNo9L-Regu" w:hAnsi="NimbusRomNo9L-Regu" w:cs="NimbusRomNo9L-Regu"/>
          <w:kern w:val="0"/>
          <w:sz w:val="18"/>
          <w:szCs w:val="18"/>
        </w:rPr>
        <w:t xml:space="preserve">aolo </w:t>
      </w:r>
      <w:proofErr w:type="spellStart"/>
      <w:r>
        <w:rPr>
          <w:rFonts w:ascii="NimbusRomNo9L-Regu" w:hAnsi="NimbusRomNo9L-Regu" w:cs="NimbusRomNo9L-Regu"/>
          <w:kern w:val="0"/>
          <w:sz w:val="18"/>
          <w:szCs w:val="18"/>
        </w:rPr>
        <w:t>Frasconi</w:t>
      </w:r>
      <w:proofErr w:type="spellEnd"/>
      <w:r>
        <w:rPr>
          <w:rFonts w:ascii="NimbusRomNo9L-Regu" w:hAnsi="NimbusRomNo9L-Regu" w:cs="NimbusRomNo9L-Regu"/>
          <w:kern w:val="0"/>
          <w:sz w:val="18"/>
          <w:szCs w:val="18"/>
        </w:rPr>
        <w:t>, and Massimiliano</w:t>
      </w:r>
      <w:r>
        <w:rPr>
          <w:rFonts w:ascii="NimbusRomNo9L-Regu" w:hAnsi="NimbusRomNo9L-Regu" w:cs="NimbusRomNo9L-Regu" w:hint="eastAsia"/>
          <w:kern w:val="0"/>
          <w:sz w:val="18"/>
          <w:szCs w:val="18"/>
        </w:rPr>
        <w:t xml:space="preserve"> </w:t>
      </w:r>
      <w:proofErr w:type="spellStart"/>
      <w:r>
        <w:rPr>
          <w:rFonts w:ascii="NimbusRomNo9L-Regu" w:hAnsi="NimbusRomNo9L-Regu" w:cs="NimbusRomNo9L-Regu"/>
          <w:kern w:val="0"/>
          <w:sz w:val="18"/>
          <w:szCs w:val="18"/>
        </w:rPr>
        <w:t>Pontil</w:t>
      </w:r>
      <w:proofErr w:type="spellEnd"/>
      <w:r>
        <w:rPr>
          <w:rFonts w:ascii="NimbusRomNo9L-Regu" w:hAnsi="NimbusRomNo9L-Regu" w:cs="NimbusRomNo9L-Regu"/>
          <w:kern w:val="0"/>
          <w:sz w:val="18"/>
          <w:szCs w:val="18"/>
        </w:rPr>
        <w:t>. Forward and revers</w:t>
      </w:r>
      <w:r>
        <w:rPr>
          <w:rFonts w:ascii="NimbusRomNo9L-Regu" w:hAnsi="NimbusRomNo9L-Regu" w:cs="NimbusRomNo9L-Regu"/>
          <w:kern w:val="0"/>
          <w:sz w:val="18"/>
          <w:szCs w:val="18"/>
        </w:rPr>
        <w:t xml:space="preserve">e gradient-based </w:t>
      </w:r>
      <w:proofErr w:type="spellStart"/>
      <w:r>
        <w:rPr>
          <w:rFonts w:ascii="NimbusRomNo9L-Regu" w:hAnsi="NimbusRomNo9L-Regu" w:cs="NimbusRomNo9L-Regu"/>
          <w:kern w:val="0"/>
          <w:sz w:val="18"/>
          <w:szCs w:val="18"/>
        </w:rPr>
        <w:t>hyperparameter</w:t>
      </w:r>
      <w:proofErr w:type="spellEnd"/>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 xml:space="preserve">optimization. In </w:t>
      </w:r>
      <w:r>
        <w:rPr>
          <w:rFonts w:ascii="NimbusRomNo9L-ReguItal" w:hAnsi="NimbusRomNo9L-ReguItal" w:cs="NimbusRomNo9L-ReguItal"/>
          <w:kern w:val="0"/>
          <w:sz w:val="18"/>
          <w:szCs w:val="18"/>
        </w:rPr>
        <w:t>Proceedings of the 34th International</w:t>
      </w:r>
      <w:r>
        <w:rPr>
          <w:rFonts w:ascii="NimbusRomNo9L-Regu" w:hAnsi="NimbusRomNo9L-Regu" w:cs="NimbusRomNo9L-Regu" w:hint="eastAsia"/>
          <w:kern w:val="0"/>
          <w:sz w:val="18"/>
          <w:szCs w:val="18"/>
        </w:rPr>
        <w:t xml:space="preserve"> </w:t>
      </w:r>
      <w:r>
        <w:rPr>
          <w:rFonts w:ascii="NimbusRomNo9L-ReguItal" w:hAnsi="NimbusRomNo9L-ReguItal" w:cs="NimbusRomNo9L-ReguItal"/>
          <w:kern w:val="0"/>
          <w:sz w:val="18"/>
          <w:szCs w:val="18"/>
        </w:rPr>
        <w:t>Conference on Machine Learning-Volume 70</w:t>
      </w:r>
      <w:r>
        <w:rPr>
          <w:rFonts w:ascii="NimbusRomNo9L-Regu" w:hAnsi="NimbusRomNo9L-Regu" w:cs="NimbusRomNo9L-Regu"/>
          <w:kern w:val="0"/>
          <w:sz w:val="18"/>
          <w:szCs w:val="18"/>
        </w:rPr>
        <w:t>, pages</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1165–1173. JMLR. org, 2017.</w:t>
      </w:r>
    </w:p>
    <w:p w:rsidR="007E141F" w:rsidRPr="007E141F" w:rsidRDefault="007E141F" w:rsidP="007E141F">
      <w:pPr>
        <w:autoSpaceDE w:val="0"/>
        <w:autoSpaceDN w:val="0"/>
        <w:adjustRightInd w:val="0"/>
        <w:jc w:val="left"/>
        <w:rPr>
          <w:rFonts w:ascii="NimbusRomNo9L-Regu" w:hAnsi="NimbusRomNo9L-Regu" w:cs="NimbusRomNo9L-Regu"/>
          <w:kern w:val="0"/>
          <w:sz w:val="18"/>
          <w:szCs w:val="18"/>
        </w:rPr>
      </w:pPr>
      <w:r>
        <w:rPr>
          <w:rFonts w:ascii="NimbusRomNo9L-Regu" w:hAnsi="NimbusRomNo9L-Regu" w:cs="NimbusRomNo9L-Regu"/>
          <w:kern w:val="0"/>
          <w:sz w:val="18"/>
          <w:szCs w:val="18"/>
        </w:rPr>
        <w:t>[2]</w:t>
      </w:r>
      <w:r w:rsidRPr="007E141F">
        <w:rPr>
          <w:rFonts w:ascii="NimbusRomNo9L-Regu" w:hAnsi="NimbusRomNo9L-Regu" w:cs="NimbusRomNo9L-Regu"/>
          <w:kern w:val="0"/>
          <w:sz w:val="18"/>
          <w:szCs w:val="18"/>
        </w:rPr>
        <w:t xml:space="preserve"> </w:t>
      </w:r>
      <w:proofErr w:type="spellStart"/>
      <w:r>
        <w:rPr>
          <w:rFonts w:ascii="NimbusRomNo9L-Regu" w:hAnsi="NimbusRomNo9L-Regu" w:cs="NimbusRomNo9L-Regu"/>
          <w:kern w:val="0"/>
          <w:sz w:val="18"/>
          <w:szCs w:val="18"/>
        </w:rPr>
        <w:t>Hanxiao</w:t>
      </w:r>
      <w:proofErr w:type="spellEnd"/>
      <w:r>
        <w:rPr>
          <w:rFonts w:ascii="NimbusRomNo9L-Regu" w:hAnsi="NimbusRomNo9L-Regu" w:cs="NimbusRomNo9L-Regu"/>
          <w:kern w:val="0"/>
          <w:sz w:val="18"/>
          <w:szCs w:val="18"/>
        </w:rPr>
        <w:t xml:space="preserve"> Liu, K</w:t>
      </w:r>
      <w:r>
        <w:rPr>
          <w:rFonts w:ascii="NimbusRomNo9L-Regu" w:hAnsi="NimbusRomNo9L-Regu" w:cs="NimbusRomNo9L-Regu"/>
          <w:kern w:val="0"/>
          <w:sz w:val="18"/>
          <w:szCs w:val="18"/>
        </w:rPr>
        <w:t xml:space="preserve">aren </w:t>
      </w:r>
      <w:proofErr w:type="spellStart"/>
      <w:r>
        <w:rPr>
          <w:rFonts w:ascii="NimbusRomNo9L-Regu" w:hAnsi="NimbusRomNo9L-Regu" w:cs="NimbusRomNo9L-Regu"/>
          <w:kern w:val="0"/>
          <w:sz w:val="18"/>
          <w:szCs w:val="18"/>
        </w:rPr>
        <w:t>Simonyan</w:t>
      </w:r>
      <w:proofErr w:type="spellEnd"/>
      <w:r>
        <w:rPr>
          <w:rFonts w:ascii="NimbusRomNo9L-Regu" w:hAnsi="NimbusRomNo9L-Regu" w:cs="NimbusRomNo9L-Regu"/>
          <w:kern w:val="0"/>
          <w:sz w:val="18"/>
          <w:szCs w:val="18"/>
        </w:rPr>
        <w:t xml:space="preserve">, and </w:t>
      </w:r>
      <w:proofErr w:type="spellStart"/>
      <w:r>
        <w:rPr>
          <w:rFonts w:ascii="NimbusRomNo9L-Regu" w:hAnsi="NimbusRomNo9L-Regu" w:cs="NimbusRomNo9L-Regu"/>
          <w:kern w:val="0"/>
          <w:sz w:val="18"/>
          <w:szCs w:val="18"/>
        </w:rPr>
        <w:t>Yiming</w:t>
      </w:r>
      <w:proofErr w:type="spellEnd"/>
      <w:r>
        <w:rPr>
          <w:rFonts w:ascii="NimbusRomNo9L-Regu" w:hAnsi="NimbusRomNo9L-Regu" w:cs="NimbusRomNo9L-Regu"/>
          <w:kern w:val="0"/>
          <w:sz w:val="18"/>
          <w:szCs w:val="18"/>
        </w:rPr>
        <w:t xml:space="preserve"> Yang.</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 xml:space="preserve">Darts: Differentiable architecture search. </w:t>
      </w:r>
      <w:proofErr w:type="spellStart"/>
      <w:r>
        <w:rPr>
          <w:rFonts w:ascii="NimbusRomNo9L-ReguItal" w:hAnsi="NimbusRomNo9L-ReguItal" w:cs="NimbusRomNo9L-ReguItal"/>
          <w:kern w:val="0"/>
          <w:sz w:val="18"/>
          <w:szCs w:val="18"/>
        </w:rPr>
        <w:t>arXiv</w:t>
      </w:r>
      <w:proofErr w:type="spellEnd"/>
      <w:r>
        <w:rPr>
          <w:rFonts w:ascii="NimbusRomNo9L-ReguItal" w:hAnsi="NimbusRomNo9L-ReguItal" w:cs="NimbusRomNo9L-ReguItal"/>
          <w:kern w:val="0"/>
          <w:sz w:val="18"/>
          <w:szCs w:val="18"/>
        </w:rPr>
        <w:t xml:space="preserve"> preprint</w:t>
      </w:r>
    </w:p>
    <w:p w:rsidR="007E141F" w:rsidRPr="002D744A" w:rsidRDefault="007E141F" w:rsidP="007E141F">
      <w:pPr>
        <w:autoSpaceDE w:val="0"/>
        <w:autoSpaceDN w:val="0"/>
        <w:adjustRightInd w:val="0"/>
        <w:jc w:val="left"/>
        <w:rPr>
          <w:rFonts w:ascii="NimbusRomNo9L-Regu" w:hAnsi="NimbusRomNo9L-Regu" w:cs="NimbusRomNo9L-Regu" w:hint="eastAsia"/>
          <w:kern w:val="0"/>
          <w:sz w:val="18"/>
          <w:szCs w:val="18"/>
        </w:rPr>
      </w:pPr>
      <w:r>
        <w:rPr>
          <w:rFonts w:ascii="NimbusRomNo9L-ReguItal" w:hAnsi="NimbusRomNo9L-ReguItal" w:cs="NimbusRomNo9L-ReguItal"/>
          <w:kern w:val="0"/>
          <w:sz w:val="18"/>
          <w:szCs w:val="18"/>
        </w:rPr>
        <w:t>arXiv:1806.09055</w:t>
      </w:r>
      <w:r>
        <w:rPr>
          <w:rFonts w:ascii="NimbusRomNo9L-Regu" w:hAnsi="NimbusRomNo9L-Regu" w:cs="NimbusRomNo9L-Regu"/>
          <w:kern w:val="0"/>
          <w:sz w:val="18"/>
          <w:szCs w:val="18"/>
        </w:rPr>
        <w:t>, 2018.</w:t>
      </w:r>
    </w:p>
    <w:sectPr w:rsidR="007E141F" w:rsidRPr="002D7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CA"/>
    <w:rsid w:val="00063322"/>
    <w:rsid w:val="00177CF4"/>
    <w:rsid w:val="00286413"/>
    <w:rsid w:val="002C2E0A"/>
    <w:rsid w:val="002D744A"/>
    <w:rsid w:val="00395835"/>
    <w:rsid w:val="003A4DDE"/>
    <w:rsid w:val="00435C13"/>
    <w:rsid w:val="00480A1F"/>
    <w:rsid w:val="005324E7"/>
    <w:rsid w:val="006339EC"/>
    <w:rsid w:val="007351CC"/>
    <w:rsid w:val="00783076"/>
    <w:rsid w:val="007E141F"/>
    <w:rsid w:val="008747DA"/>
    <w:rsid w:val="008862CA"/>
    <w:rsid w:val="008B6188"/>
    <w:rsid w:val="009209F1"/>
    <w:rsid w:val="00973836"/>
    <w:rsid w:val="00977046"/>
    <w:rsid w:val="00A54F61"/>
    <w:rsid w:val="00C4435D"/>
    <w:rsid w:val="00D52055"/>
    <w:rsid w:val="00D75A42"/>
    <w:rsid w:val="00DA5231"/>
    <w:rsid w:val="00EA129B"/>
    <w:rsid w:val="00EF5B0C"/>
    <w:rsid w:val="00FA4DFC"/>
    <w:rsid w:val="00FA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9636"/>
  <w15:chartTrackingRefBased/>
  <w15:docId w15:val="{8C22EBE8-2E8E-4D0C-AC38-F2295164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51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lileilai</dc:creator>
  <cp:keywords/>
  <dc:description/>
  <cp:lastModifiedBy>lileilai</cp:lastModifiedBy>
  <cp:revision>24</cp:revision>
  <dcterms:created xsi:type="dcterms:W3CDTF">2019-09-28T15:21:00Z</dcterms:created>
  <dcterms:modified xsi:type="dcterms:W3CDTF">2019-09-28T16:14:00Z</dcterms:modified>
</cp:coreProperties>
</file>