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F86">
      <w:pPr>
        <w:spacing w:line="300" w:lineRule="auto"/>
        <w:rPr>
          <w:rFonts w:ascii="Times New Roman" w:hAnsi="Times New Roman" w:eastAsia="宋体" w:cs="Times New Roman"/>
          <w:sz w:val="18"/>
          <w:szCs w:val="18"/>
          <w14:ligatures w14:val="none"/>
        </w:rPr>
      </w:pPr>
      <w:r>
        <w:rPr>
          <w:rFonts w:hint="eastAsia" w:ascii="Times New Roman" w:hAnsi="Times New Roman" w:eastAsia="黑体" w:cs="Times New Roman"/>
          <w:b/>
          <w:bCs/>
          <w:sz w:val="32"/>
          <w:szCs w:val="32"/>
          <w14:ligatures w14:val="none"/>
        </w:rPr>
        <w:t>对 Steegen 等人（2014）研究结果的计算可复现性检验报告</w:t>
      </w:r>
    </w:p>
    <w:p w14:paraId="35DC7F87">
      <w:pPr>
        <w:spacing w:line="300" w:lineRule="auto"/>
        <w:ind w:firstLine="360"/>
        <w:rPr>
          <w:rFonts w:ascii="Times New Roman" w:hAnsi="Times New Roman" w:eastAsia="宋体" w:cs="Times New Roman"/>
          <w:sz w:val="18"/>
          <w:szCs w:val="18"/>
          <w14:ligatures w14:val="none"/>
        </w:rPr>
      </w:pPr>
    </w:p>
    <w:p w14:paraId="5FDAD822">
      <w:pPr>
        <w:spacing w:line="300" w:lineRule="auto"/>
        <w:ind w:firstLine="562"/>
        <w:rPr>
          <w:rFonts w:hint="eastAsia" w:ascii="Times New Roman" w:hAnsi="Times New Roman" w:eastAsia="宋体" w:cs="Times New Roman"/>
          <w:b/>
          <w:bCs/>
          <w:szCs w:val="21"/>
          <w14:ligatures w14:val="none"/>
        </w:rPr>
      </w:pPr>
      <w:r>
        <w:rPr>
          <w:rFonts w:hint="eastAsia" w:ascii="Times New Roman" w:hAnsi="Times New Roman" w:eastAsia="宋体" w:cs="Times New Roman"/>
          <w:b/>
          <w:bCs/>
          <w:szCs w:val="21"/>
          <w14:ligatures w14:val="none"/>
        </w:rPr>
        <w:t>本研究所检验的项目来源于 Open Science Collaboration（2015）发表于 Science 的 Reproducibility Project: Psychology（RPP）总项目。课程提供的 RPP 数据表中包含多个心理学原始研究及其对应复现项目，本研究从该表中筛选出 Study Num 116，即 Vul 与 Pashler（2008）发表于 Psychological Science 的 “Measuring the Crowd Within: Probabilistic Representations Within Individuals”。该原始研究提出 “the crowd within” 效应，即同一个体对同一问题进行两次估计后，两次估计的平均值可能比任一次单独估计更准确。需要说明的是，Steegen 等人（2014）并未使用 Vul 与 Pashler（2008）的同一批原始被试数据，而是作为 RPP 体系下针对该原始研究的高功效、预注册复现项目，重新收集了 Leuven 大学心理学学生样本，并公开了原始数据、处理后数据和分析代码。本报告因此以 Vul 与 Pashler（2008）作为原始理论与研究假设来源，以 Steegen 等人（2014）的公开复现数据和报告结果作为直接计算可复现性检验对象。使用 R 语言重新进行数据清洗、描述性统计、配对 t 检验、效应量与 Bayes factor 复核后，本研究共比较 40 个原文报告数值，其中 4 个完全一致，36 个为小于 10% 的次要偏差，未发现主要偏差或无法检验结果。所有核心推论均与原文一致，说明该 RPP 子项目的主要统计结果具有较高计算可复现性。</w:t>
      </w:r>
    </w:p>
    <w:p w14:paraId="35DC7F8A">
      <w:pPr>
        <w:spacing w:line="300" w:lineRule="auto"/>
        <w:ind w:firstLine="562"/>
        <w:rPr>
          <w:rFonts w:ascii="Times New Roman" w:hAnsi="Times New Roman" w:eastAsia="宋体" w:cs="Times New Roman"/>
          <w:b/>
          <w:bCs/>
          <w:sz w:val="28"/>
          <w:szCs w:val="28"/>
          <w14:ligatures w14:val="none"/>
        </w:rPr>
      </w:pPr>
      <w:r>
        <w:rPr>
          <w:rFonts w:hint="eastAsia" w:ascii="Times New Roman" w:hAnsi="Times New Roman" w:eastAsia="宋体" w:cs="Times New Roman"/>
          <w:b/>
          <w:bCs/>
          <w:szCs w:val="21"/>
          <w14:ligatures w14:val="none"/>
        </w:rPr>
        <w:t>关键词：计算可复现性；平均化收益；配对 t 检验；Bayes factor</w:t>
      </w: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hint="eastAsia"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4"/>
        <w:gridCol w:w="7242"/>
      </w:tblGrid>
      <w:tr w14:paraId="17251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000000" w:themeColor="text1" w:sz="12" w:space="0"/>
              <w:left w:val="nil"/>
              <w:bottom w:val="single" w:color="000000" w:themeColor="text1" w:sz="12" w:space="0"/>
              <w:right w:val="nil"/>
            </w:tcBorders>
            <w:shd w:val="clear" w:color="auto" w:fill="FFFFFF"/>
            <w:vAlign w:val="center"/>
          </w:tcPr>
          <w:p w14:paraId="71E30673">
            <w:pPr>
              <w:keepNext w:val="0"/>
              <w:keepLines w:val="0"/>
              <w:widowControl/>
              <w:suppressLineNumbers w:val="0"/>
              <w:jc w:val="left"/>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项目</w:t>
            </w:r>
          </w:p>
        </w:tc>
        <w:tc>
          <w:tcPr>
            <w:tcW w:w="0" w:type="auto"/>
            <w:tcBorders>
              <w:top w:val="single" w:color="000000" w:themeColor="text1" w:sz="12" w:space="0"/>
              <w:left w:val="nil"/>
              <w:bottom w:val="single" w:color="000000" w:themeColor="text1" w:sz="12" w:space="0"/>
              <w:right w:val="nil"/>
            </w:tcBorders>
            <w:shd w:val="clear" w:color="auto" w:fill="FFFFFF"/>
            <w:vAlign w:val="center"/>
          </w:tcPr>
          <w:p w14:paraId="1F3B4AB4">
            <w:pPr>
              <w:keepNext w:val="0"/>
              <w:keepLines w:val="0"/>
              <w:widowControl/>
              <w:suppressLineNumbers w:val="0"/>
              <w:jc w:val="left"/>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内容</w:t>
            </w:r>
          </w:p>
        </w:tc>
      </w:tr>
      <w:tr w14:paraId="2F00C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1124214C">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RPP 项目来源</w:t>
            </w:r>
          </w:p>
        </w:tc>
        <w:tc>
          <w:tcPr>
            <w:tcW w:w="0" w:type="auto"/>
            <w:tcBorders>
              <w:top w:val="nil"/>
              <w:left w:val="nil"/>
              <w:bottom w:val="nil"/>
              <w:right w:val="nil"/>
            </w:tcBorders>
            <w:shd w:val="clear" w:color="auto" w:fill="FFFFFF"/>
            <w:vAlign w:val="center"/>
          </w:tcPr>
          <w:p w14:paraId="3CE1035F">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 xml:space="preserve">Open Science Collaboration（2015）发表于 </w:t>
            </w:r>
            <w:r>
              <w:rPr>
                <w:rStyle w:val="5"/>
                <w:rFonts w:ascii="宋体" w:hAnsi="宋体" w:eastAsia="宋体" w:cs="宋体"/>
                <w:b w:val="0"/>
                <w:i w:val="0"/>
                <w:color w:val="08090C"/>
                <w:kern w:val="0"/>
                <w:sz w:val="21"/>
                <w:szCs w:val="21"/>
                <w:lang w:val="en-US" w:eastAsia="zh-CN" w:bidi="ar"/>
                <w14:ligatures w14:val="standardContextual"/>
              </w:rPr>
              <w:t>Science</w:t>
            </w:r>
            <w:r>
              <w:rPr>
                <w:rFonts w:ascii="宋体" w:hAnsi="宋体" w:eastAsia="宋体" w:cs="宋体"/>
                <w:b w:val="0"/>
                <w:i w:val="0"/>
                <w:color w:val="08090C"/>
                <w:kern w:val="0"/>
                <w:sz w:val="21"/>
                <w:szCs w:val="21"/>
                <w:lang w:val="en-US" w:eastAsia="zh-CN" w:bidi="ar"/>
                <w14:ligatures w14:val="standardContextual"/>
              </w:rPr>
              <w:t xml:space="preserve"> 的 Reproducibility Project: Psychology（RPP）。课程提供的 RPP 项目数据表为 </w:t>
            </w:r>
            <w:r>
              <w:rPr>
                <w:rFonts w:ascii="宋体" w:hAnsi="宋体" w:eastAsia="宋体" w:cs="宋体"/>
                <w:b w:val="0"/>
                <w:i w:val="0"/>
                <w:color w:val="08090C"/>
                <w:kern w:val="0"/>
                <w:sz w:val="21"/>
                <w:szCs w:val="21"/>
                <w:lang w:val="en-US" w:eastAsia="zh-CN" w:bidi="ar"/>
                <w14:ligatures w14:val="standardContextual"/>
              </w:rPr>
              <w:fldChar w:fldCharType="begin"/>
            </w:r>
            <w:r>
              <w:rPr>
                <w:rFonts w:ascii="宋体" w:hAnsi="宋体" w:eastAsia="宋体" w:cs="宋体"/>
                <w:b w:val="0"/>
                <w:i w:val="0"/>
                <w:color w:val="08090C"/>
                <w:kern w:val="0"/>
                <w:sz w:val="21"/>
                <w:szCs w:val="21"/>
                <w:lang w:val="en-US" w:eastAsia="zh-CN" w:bidi="ar"/>
                <w14:ligatures w14:val="standardContextual"/>
              </w:rPr>
              <w:instrText xml:space="preserve"> HYPERLINK "https://osf.io/fgjvw/%EF%BC%8C%E6%9C%AC%E7%A0%94%E7%A9%B6%E4%BB%8E%E8%AF%A5%E8%A1%A8%E4%B8%AD%E5%AE%9A%E4%BD%8D%E5%88%B0" </w:instrText>
            </w:r>
            <w:r>
              <w:rPr>
                <w:rFonts w:ascii="宋体" w:hAnsi="宋体" w:eastAsia="宋体" w:cs="宋体"/>
                <w:b w:val="0"/>
                <w:i w:val="0"/>
                <w:color w:val="08090C"/>
                <w:kern w:val="0"/>
                <w:sz w:val="21"/>
                <w:szCs w:val="21"/>
                <w:lang w:val="en-US" w:eastAsia="zh-CN" w:bidi="ar"/>
                <w14:ligatures w14:val="standardContextual"/>
              </w:rPr>
              <w:fldChar w:fldCharType="separate"/>
            </w:r>
            <w:r>
              <w:rPr>
                <w:rStyle w:val="6"/>
                <w:rFonts w:ascii="宋体" w:hAnsi="宋体" w:eastAsia="宋体" w:cs="宋体"/>
                <w:b w:val="0"/>
                <w:i w:val="0"/>
                <w:color w:val="08090C"/>
                <w:sz w:val="21"/>
                <w:szCs w:val="21"/>
              </w:rPr>
              <w:t>https://osf.io/fgjvw/，本研究从该表中定位到</w:t>
            </w:r>
            <w:r>
              <w:rPr>
                <w:rFonts w:ascii="宋体" w:hAnsi="宋体" w:eastAsia="宋体" w:cs="宋体"/>
                <w:b w:val="0"/>
                <w:i w:val="0"/>
                <w:color w:val="08090C"/>
                <w:kern w:val="0"/>
                <w:sz w:val="21"/>
                <w:szCs w:val="21"/>
                <w:lang w:val="en-US" w:eastAsia="zh-CN" w:bidi="ar"/>
                <w14:ligatures w14:val="standardContextual"/>
              </w:rPr>
              <w:fldChar w:fldCharType="end"/>
            </w:r>
            <w:r>
              <w:rPr>
                <w:rFonts w:ascii="宋体" w:hAnsi="宋体" w:eastAsia="宋体" w:cs="宋体"/>
                <w:b w:val="0"/>
                <w:i w:val="0"/>
                <w:color w:val="08090C"/>
                <w:kern w:val="0"/>
                <w:sz w:val="21"/>
                <w:szCs w:val="21"/>
                <w:lang w:val="en-US" w:eastAsia="zh-CN" w:bidi="ar"/>
                <w14:ligatures w14:val="standardContextual"/>
              </w:rPr>
              <w:t xml:space="preserve"> Study Num 116。</w:t>
            </w:r>
          </w:p>
        </w:tc>
      </w:tr>
      <w:tr w14:paraId="6F8B6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2904A366">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RPP 原始研究文献</w:t>
            </w:r>
          </w:p>
        </w:tc>
        <w:tc>
          <w:tcPr>
            <w:tcW w:w="0" w:type="auto"/>
            <w:tcBorders>
              <w:top w:val="nil"/>
              <w:left w:val="nil"/>
              <w:bottom w:val="nil"/>
              <w:right w:val="nil"/>
            </w:tcBorders>
            <w:shd w:val="clear" w:color="auto" w:fill="FFFFFF"/>
            <w:vAlign w:val="center"/>
          </w:tcPr>
          <w:p w14:paraId="55EE9DF4">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 xml:space="preserve">Vul, E., &amp; Pashler, H. (2008). Measuring the crowd within: Probabilistic representations within individuals. </w:t>
            </w:r>
            <w:r>
              <w:rPr>
                <w:rStyle w:val="5"/>
                <w:rFonts w:ascii="宋体" w:hAnsi="宋体" w:eastAsia="宋体" w:cs="宋体"/>
                <w:b w:val="0"/>
                <w:i w:val="0"/>
                <w:color w:val="08090C"/>
                <w:kern w:val="0"/>
                <w:sz w:val="21"/>
                <w:szCs w:val="21"/>
                <w:lang w:val="en-US" w:eastAsia="zh-CN" w:bidi="ar"/>
                <w14:ligatures w14:val="standardContextual"/>
              </w:rPr>
              <w:t>Psychological Science, 19</w:t>
            </w:r>
            <w:r>
              <w:rPr>
                <w:rFonts w:ascii="宋体" w:hAnsi="宋体" w:eastAsia="宋体" w:cs="宋体"/>
                <w:b w:val="0"/>
                <w:i w:val="0"/>
                <w:color w:val="08090C"/>
                <w:kern w:val="0"/>
                <w:sz w:val="21"/>
                <w:szCs w:val="21"/>
                <w:lang w:val="en-US" w:eastAsia="zh-CN" w:bidi="ar"/>
                <w14:ligatures w14:val="standardContextual"/>
              </w:rPr>
              <w:t xml:space="preserve">(7), 645–647. </w:t>
            </w:r>
            <w:r>
              <w:rPr>
                <w:rFonts w:ascii="宋体" w:hAnsi="宋体" w:eastAsia="宋体" w:cs="宋体"/>
                <w:b w:val="0"/>
                <w:i w:val="0"/>
                <w:color w:val="08090C"/>
                <w:kern w:val="0"/>
                <w:sz w:val="21"/>
                <w:szCs w:val="21"/>
                <w:lang w:val="en-US" w:eastAsia="zh-CN" w:bidi="ar"/>
                <w14:ligatures w14:val="standardContextual"/>
              </w:rPr>
              <w:fldChar w:fldCharType="begin"/>
            </w:r>
            <w:r>
              <w:rPr>
                <w:rFonts w:ascii="宋体" w:hAnsi="宋体" w:eastAsia="宋体" w:cs="宋体"/>
                <w:b w:val="0"/>
                <w:i w:val="0"/>
                <w:color w:val="08090C"/>
                <w:kern w:val="0"/>
                <w:sz w:val="21"/>
                <w:szCs w:val="21"/>
                <w:lang w:val="en-US" w:eastAsia="zh-CN" w:bidi="ar"/>
                <w14:ligatures w14:val="standardContextual"/>
              </w:rPr>
              <w:instrText xml:space="preserve"> HYPERLINK "https://doi.org/10.1111/j.1467-9280.2008.02136.x" </w:instrText>
            </w:r>
            <w:r>
              <w:rPr>
                <w:rFonts w:ascii="宋体" w:hAnsi="宋体" w:eastAsia="宋体" w:cs="宋体"/>
                <w:b w:val="0"/>
                <w:i w:val="0"/>
                <w:color w:val="08090C"/>
                <w:kern w:val="0"/>
                <w:sz w:val="21"/>
                <w:szCs w:val="21"/>
                <w:lang w:val="en-US" w:eastAsia="zh-CN" w:bidi="ar"/>
                <w14:ligatures w14:val="standardContextual"/>
              </w:rPr>
              <w:fldChar w:fldCharType="separate"/>
            </w:r>
            <w:r>
              <w:rPr>
                <w:rStyle w:val="6"/>
                <w:rFonts w:ascii="宋体" w:hAnsi="宋体" w:eastAsia="宋体" w:cs="宋体"/>
                <w:b w:val="0"/>
                <w:i w:val="0"/>
                <w:color w:val="08090C"/>
                <w:sz w:val="21"/>
                <w:szCs w:val="21"/>
              </w:rPr>
              <w:t>https://doi.org/10.1111/j.1467-9280.2008.02136.x</w:t>
            </w:r>
            <w:r>
              <w:rPr>
                <w:rFonts w:ascii="宋体" w:hAnsi="宋体" w:eastAsia="宋体" w:cs="宋体"/>
                <w:b w:val="0"/>
                <w:i w:val="0"/>
                <w:color w:val="08090C"/>
                <w:kern w:val="0"/>
                <w:sz w:val="21"/>
                <w:szCs w:val="21"/>
                <w:lang w:val="en-US" w:eastAsia="zh-CN" w:bidi="ar"/>
                <w14:ligatures w14:val="standardContextual"/>
              </w:rPr>
              <w:fldChar w:fldCharType="end"/>
            </w:r>
          </w:p>
        </w:tc>
      </w:tr>
      <w:tr w14:paraId="77DA8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2F96A68F">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直接计算可复现性检验对象</w:t>
            </w:r>
          </w:p>
        </w:tc>
        <w:tc>
          <w:tcPr>
            <w:tcW w:w="0" w:type="auto"/>
            <w:tcBorders>
              <w:top w:val="nil"/>
              <w:left w:val="nil"/>
              <w:bottom w:val="nil"/>
              <w:right w:val="nil"/>
            </w:tcBorders>
            <w:shd w:val="clear" w:color="auto" w:fill="FFFFFF"/>
            <w:vAlign w:val="center"/>
          </w:tcPr>
          <w:p w14:paraId="1190C321">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 xml:space="preserve">Steegen, S., Dewitte, L., Tuerlinckx, F., &amp; Vanpaemel, W. (2014). Measuring the crowd within again: A pre-registered replication study. </w:t>
            </w:r>
            <w:r>
              <w:rPr>
                <w:rStyle w:val="5"/>
                <w:rFonts w:ascii="宋体" w:hAnsi="宋体" w:eastAsia="宋体" w:cs="宋体"/>
                <w:b w:val="0"/>
                <w:i w:val="0"/>
                <w:color w:val="08090C"/>
                <w:kern w:val="0"/>
                <w:sz w:val="21"/>
                <w:szCs w:val="21"/>
                <w:lang w:val="en-US" w:eastAsia="zh-CN" w:bidi="ar"/>
                <w14:ligatures w14:val="standardContextual"/>
              </w:rPr>
              <w:t>Frontiers in Psychology, 5</w:t>
            </w:r>
            <w:r>
              <w:rPr>
                <w:rFonts w:ascii="宋体" w:hAnsi="宋体" w:eastAsia="宋体" w:cs="宋体"/>
                <w:b w:val="0"/>
                <w:i w:val="0"/>
                <w:color w:val="08090C"/>
                <w:kern w:val="0"/>
                <w:sz w:val="21"/>
                <w:szCs w:val="21"/>
                <w:lang w:val="en-US" w:eastAsia="zh-CN" w:bidi="ar"/>
                <w14:ligatures w14:val="standardContextual"/>
              </w:rPr>
              <w:t xml:space="preserve">, Article 786. </w:t>
            </w:r>
            <w:r>
              <w:rPr>
                <w:rFonts w:ascii="宋体" w:hAnsi="宋体" w:eastAsia="宋体" w:cs="宋体"/>
                <w:b w:val="0"/>
                <w:i w:val="0"/>
                <w:color w:val="08090C"/>
                <w:kern w:val="0"/>
                <w:sz w:val="21"/>
                <w:szCs w:val="21"/>
                <w:lang w:val="en-US" w:eastAsia="zh-CN" w:bidi="ar"/>
                <w14:ligatures w14:val="standardContextual"/>
              </w:rPr>
              <w:fldChar w:fldCharType="begin"/>
            </w:r>
            <w:r>
              <w:rPr>
                <w:rFonts w:ascii="宋体" w:hAnsi="宋体" w:eastAsia="宋体" w:cs="宋体"/>
                <w:b w:val="0"/>
                <w:i w:val="0"/>
                <w:color w:val="08090C"/>
                <w:kern w:val="0"/>
                <w:sz w:val="21"/>
                <w:szCs w:val="21"/>
                <w:lang w:val="en-US" w:eastAsia="zh-CN" w:bidi="ar"/>
                <w14:ligatures w14:val="standardContextual"/>
              </w:rPr>
              <w:instrText xml:space="preserve"> HYPERLINK "https://doi.org/10.3389/fpsyg.2014.00786" </w:instrText>
            </w:r>
            <w:r>
              <w:rPr>
                <w:rFonts w:ascii="宋体" w:hAnsi="宋体" w:eastAsia="宋体" w:cs="宋体"/>
                <w:b w:val="0"/>
                <w:i w:val="0"/>
                <w:color w:val="08090C"/>
                <w:kern w:val="0"/>
                <w:sz w:val="21"/>
                <w:szCs w:val="21"/>
                <w:lang w:val="en-US" w:eastAsia="zh-CN" w:bidi="ar"/>
                <w14:ligatures w14:val="standardContextual"/>
              </w:rPr>
              <w:fldChar w:fldCharType="separate"/>
            </w:r>
            <w:r>
              <w:rPr>
                <w:rStyle w:val="6"/>
                <w:rFonts w:ascii="宋体" w:hAnsi="宋体" w:eastAsia="宋体" w:cs="宋体"/>
                <w:b w:val="0"/>
                <w:i w:val="0"/>
                <w:color w:val="08090C"/>
                <w:sz w:val="21"/>
                <w:szCs w:val="21"/>
              </w:rPr>
              <w:t>https://doi.org/10.3389/fpsyg.2014.00786</w:t>
            </w:r>
            <w:r>
              <w:rPr>
                <w:rFonts w:ascii="宋体" w:hAnsi="宋体" w:eastAsia="宋体" w:cs="宋体"/>
                <w:b w:val="0"/>
                <w:i w:val="0"/>
                <w:color w:val="08090C"/>
                <w:kern w:val="0"/>
                <w:sz w:val="21"/>
                <w:szCs w:val="21"/>
                <w:lang w:val="en-US" w:eastAsia="zh-CN" w:bidi="ar"/>
                <w14:ligatures w14:val="standardContextual"/>
              </w:rPr>
              <w:fldChar w:fldCharType="end"/>
            </w:r>
          </w:p>
        </w:tc>
      </w:tr>
      <w:tr w14:paraId="4A3C7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1515C3C8">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数据来源</w:t>
            </w:r>
          </w:p>
        </w:tc>
        <w:tc>
          <w:tcPr>
            <w:tcW w:w="0" w:type="auto"/>
            <w:tcBorders>
              <w:top w:val="nil"/>
              <w:left w:val="nil"/>
              <w:bottom w:val="nil"/>
              <w:right w:val="nil"/>
            </w:tcBorders>
            <w:shd w:val="clear" w:color="auto" w:fill="FFFFFF"/>
            <w:vAlign w:val="center"/>
          </w:tcPr>
          <w:p w14:paraId="3D77DB5D">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OSF 项目页：</w:t>
            </w:r>
            <w:r>
              <w:rPr>
                <w:rFonts w:ascii="宋体" w:hAnsi="宋体" w:eastAsia="宋体" w:cs="宋体"/>
                <w:b w:val="0"/>
                <w:i w:val="0"/>
                <w:color w:val="08090C"/>
                <w:kern w:val="0"/>
                <w:sz w:val="21"/>
                <w:szCs w:val="21"/>
                <w:lang w:val="en-US" w:eastAsia="zh-CN" w:bidi="ar"/>
                <w14:ligatures w14:val="standardContextual"/>
              </w:rPr>
              <w:fldChar w:fldCharType="begin"/>
            </w:r>
            <w:r>
              <w:rPr>
                <w:rFonts w:ascii="宋体" w:hAnsi="宋体" w:eastAsia="宋体" w:cs="宋体"/>
                <w:b w:val="0"/>
                <w:i w:val="0"/>
                <w:color w:val="08090C"/>
                <w:kern w:val="0"/>
                <w:sz w:val="21"/>
                <w:szCs w:val="21"/>
                <w:lang w:val="en-US" w:eastAsia="zh-CN" w:bidi="ar"/>
                <w14:ligatures w14:val="standardContextual"/>
              </w:rPr>
              <w:instrText xml:space="preserve"> HYPERLINK "https://osf.io/ivfu6/%EF%BC%9B%E5%A4%8D%E7%8E%B0%E6%8A%A5%E5%91%8A%EF%BC%9Ahttps://osf.io/7kimb/%EF%BC%9BRPP" </w:instrText>
            </w:r>
            <w:r>
              <w:rPr>
                <w:rFonts w:ascii="宋体" w:hAnsi="宋体" w:eastAsia="宋体" w:cs="宋体"/>
                <w:b w:val="0"/>
                <w:i w:val="0"/>
                <w:color w:val="08090C"/>
                <w:kern w:val="0"/>
                <w:sz w:val="21"/>
                <w:szCs w:val="21"/>
                <w:lang w:val="en-US" w:eastAsia="zh-CN" w:bidi="ar"/>
                <w14:ligatures w14:val="standardContextual"/>
              </w:rPr>
              <w:fldChar w:fldCharType="separate"/>
            </w:r>
            <w:r>
              <w:rPr>
                <w:rStyle w:val="6"/>
                <w:rFonts w:ascii="宋体" w:hAnsi="宋体" w:eastAsia="宋体" w:cs="宋体"/>
                <w:b w:val="0"/>
                <w:i w:val="0"/>
                <w:color w:val="08090C"/>
                <w:sz w:val="21"/>
                <w:szCs w:val="21"/>
              </w:rPr>
              <w:t>https://osf.io/ivfu6/；复现报告：https://osf.io/7kimb/；RPP</w:t>
            </w:r>
            <w:r>
              <w:rPr>
                <w:rFonts w:ascii="宋体" w:hAnsi="宋体" w:eastAsia="宋体" w:cs="宋体"/>
                <w:b w:val="0"/>
                <w:i w:val="0"/>
                <w:color w:val="08090C"/>
                <w:kern w:val="0"/>
                <w:sz w:val="21"/>
                <w:szCs w:val="21"/>
                <w:lang w:val="en-US" w:eastAsia="zh-CN" w:bidi="ar"/>
                <w14:ligatures w14:val="standardContextual"/>
              </w:rPr>
              <w:fldChar w:fldCharType="end"/>
            </w:r>
            <w:r>
              <w:rPr>
                <w:rFonts w:ascii="宋体" w:hAnsi="宋体" w:eastAsia="宋体" w:cs="宋体"/>
                <w:b w:val="0"/>
                <w:i w:val="0"/>
                <w:color w:val="08090C"/>
                <w:kern w:val="0"/>
                <w:sz w:val="21"/>
                <w:szCs w:val="21"/>
                <w:lang w:val="en-US" w:eastAsia="zh-CN" w:bidi="ar"/>
                <w14:ligatures w14:val="standardContextual"/>
              </w:rPr>
              <w:t xml:space="preserve"> 代码来源：</w:t>
            </w:r>
            <w:r>
              <w:rPr>
                <w:rFonts w:ascii="宋体" w:hAnsi="宋体" w:eastAsia="宋体" w:cs="宋体"/>
                <w:b w:val="0"/>
                <w:i w:val="0"/>
                <w:color w:val="08090C"/>
                <w:kern w:val="0"/>
                <w:sz w:val="21"/>
                <w:szCs w:val="21"/>
                <w:lang w:val="en-US" w:eastAsia="zh-CN" w:bidi="ar"/>
                <w14:ligatures w14:val="standardContextual"/>
              </w:rPr>
              <w:fldChar w:fldCharType="begin"/>
            </w:r>
            <w:r>
              <w:rPr>
                <w:rFonts w:ascii="宋体" w:hAnsi="宋体" w:eastAsia="宋体" w:cs="宋体"/>
                <w:b w:val="0"/>
                <w:i w:val="0"/>
                <w:color w:val="08090C"/>
                <w:kern w:val="0"/>
                <w:sz w:val="21"/>
                <w:szCs w:val="21"/>
                <w:lang w:val="en-US" w:eastAsia="zh-CN" w:bidi="ar"/>
                <w14:ligatures w14:val="standardContextual"/>
              </w:rPr>
              <w:instrText xml:space="preserve"> HYPERLINK "https://osf.io/8twa9/%EF%BC%9Bimmediate" </w:instrText>
            </w:r>
            <w:r>
              <w:rPr>
                <w:rFonts w:ascii="宋体" w:hAnsi="宋体" w:eastAsia="宋体" w:cs="宋体"/>
                <w:b w:val="0"/>
                <w:i w:val="0"/>
                <w:color w:val="08090C"/>
                <w:kern w:val="0"/>
                <w:sz w:val="21"/>
                <w:szCs w:val="21"/>
                <w:lang w:val="en-US" w:eastAsia="zh-CN" w:bidi="ar"/>
                <w14:ligatures w14:val="standardContextual"/>
              </w:rPr>
              <w:fldChar w:fldCharType="separate"/>
            </w:r>
            <w:r>
              <w:rPr>
                <w:rStyle w:val="6"/>
                <w:rFonts w:ascii="宋体" w:hAnsi="宋体" w:eastAsia="宋体" w:cs="宋体"/>
                <w:b w:val="0"/>
                <w:i w:val="0"/>
                <w:color w:val="08090C"/>
                <w:sz w:val="21"/>
                <w:szCs w:val="21"/>
              </w:rPr>
              <w:t>https://osf.io/8twa9/；immediate</w:t>
            </w:r>
            <w:r>
              <w:rPr>
                <w:rFonts w:ascii="宋体" w:hAnsi="宋体" w:eastAsia="宋体" w:cs="宋体"/>
                <w:b w:val="0"/>
                <w:i w:val="0"/>
                <w:color w:val="08090C"/>
                <w:kern w:val="0"/>
                <w:sz w:val="21"/>
                <w:szCs w:val="21"/>
                <w:lang w:val="en-US" w:eastAsia="zh-CN" w:bidi="ar"/>
                <w14:ligatures w14:val="standardContextual"/>
              </w:rPr>
              <w:fldChar w:fldCharType="end"/>
            </w:r>
            <w:r>
              <w:rPr>
                <w:rFonts w:ascii="宋体" w:hAnsi="宋体" w:eastAsia="宋体" w:cs="宋体"/>
                <w:b w:val="0"/>
                <w:i w:val="0"/>
                <w:color w:val="08090C"/>
                <w:kern w:val="0"/>
                <w:sz w:val="21"/>
                <w:szCs w:val="21"/>
                <w:lang w:val="en-US" w:eastAsia="zh-CN" w:bidi="ar"/>
                <w14:ligatures w14:val="standardContextual"/>
              </w:rPr>
              <w:t xml:space="preserve"> condition 数据：</w:t>
            </w:r>
            <w:r>
              <w:rPr>
                <w:rFonts w:ascii="宋体" w:hAnsi="宋体" w:eastAsia="宋体" w:cs="宋体"/>
                <w:b w:val="0"/>
                <w:i w:val="0"/>
                <w:color w:val="08090C"/>
                <w:kern w:val="0"/>
                <w:sz w:val="21"/>
                <w:szCs w:val="21"/>
                <w:lang w:val="en-US" w:eastAsia="zh-CN" w:bidi="ar"/>
                <w14:ligatures w14:val="standardContextual"/>
              </w:rPr>
              <w:fldChar w:fldCharType="begin"/>
            </w:r>
            <w:r>
              <w:rPr>
                <w:rFonts w:ascii="宋体" w:hAnsi="宋体" w:eastAsia="宋体" w:cs="宋体"/>
                <w:b w:val="0"/>
                <w:i w:val="0"/>
                <w:color w:val="08090C"/>
                <w:kern w:val="0"/>
                <w:sz w:val="21"/>
                <w:szCs w:val="21"/>
                <w:lang w:val="en-US" w:eastAsia="zh-CN" w:bidi="ar"/>
                <w14:ligatures w14:val="standardContextual"/>
              </w:rPr>
              <w:instrText xml:space="preserve"> HYPERLINK "https://osf.io/ckw86/%EF%BC%9Bdelayed" </w:instrText>
            </w:r>
            <w:r>
              <w:rPr>
                <w:rFonts w:ascii="宋体" w:hAnsi="宋体" w:eastAsia="宋体" w:cs="宋体"/>
                <w:b w:val="0"/>
                <w:i w:val="0"/>
                <w:color w:val="08090C"/>
                <w:kern w:val="0"/>
                <w:sz w:val="21"/>
                <w:szCs w:val="21"/>
                <w:lang w:val="en-US" w:eastAsia="zh-CN" w:bidi="ar"/>
                <w14:ligatures w14:val="standardContextual"/>
              </w:rPr>
              <w:fldChar w:fldCharType="separate"/>
            </w:r>
            <w:r>
              <w:rPr>
                <w:rStyle w:val="6"/>
                <w:rFonts w:ascii="宋体" w:hAnsi="宋体" w:eastAsia="宋体" w:cs="宋体"/>
                <w:b w:val="0"/>
                <w:i w:val="0"/>
                <w:color w:val="08090C"/>
                <w:sz w:val="21"/>
                <w:szCs w:val="21"/>
              </w:rPr>
              <w:t>https://osf.io/ckw86/；delayed</w:t>
            </w:r>
            <w:r>
              <w:rPr>
                <w:rFonts w:ascii="宋体" w:hAnsi="宋体" w:eastAsia="宋体" w:cs="宋体"/>
                <w:b w:val="0"/>
                <w:i w:val="0"/>
                <w:color w:val="08090C"/>
                <w:kern w:val="0"/>
                <w:sz w:val="21"/>
                <w:szCs w:val="21"/>
                <w:lang w:val="en-US" w:eastAsia="zh-CN" w:bidi="ar"/>
                <w14:ligatures w14:val="standardContextual"/>
              </w:rPr>
              <w:fldChar w:fldCharType="end"/>
            </w:r>
            <w:r>
              <w:rPr>
                <w:rFonts w:ascii="宋体" w:hAnsi="宋体" w:eastAsia="宋体" w:cs="宋体"/>
                <w:b w:val="0"/>
                <w:i w:val="0"/>
                <w:color w:val="08090C"/>
                <w:kern w:val="0"/>
                <w:sz w:val="21"/>
                <w:szCs w:val="21"/>
                <w:lang w:val="en-US" w:eastAsia="zh-CN" w:bidi="ar"/>
                <w14:ligatures w14:val="standardContextual"/>
              </w:rPr>
              <w:t xml:space="preserve"> session 1 数据：</w:t>
            </w:r>
            <w:r>
              <w:rPr>
                <w:rFonts w:ascii="宋体" w:hAnsi="宋体" w:eastAsia="宋体" w:cs="宋体"/>
                <w:b w:val="0"/>
                <w:i w:val="0"/>
                <w:color w:val="08090C"/>
                <w:kern w:val="0"/>
                <w:sz w:val="21"/>
                <w:szCs w:val="21"/>
                <w:lang w:val="en-US" w:eastAsia="zh-CN" w:bidi="ar"/>
                <w14:ligatures w14:val="standardContextual"/>
              </w:rPr>
              <w:fldChar w:fldCharType="begin"/>
            </w:r>
            <w:r>
              <w:rPr>
                <w:rFonts w:ascii="宋体" w:hAnsi="宋体" w:eastAsia="宋体" w:cs="宋体"/>
                <w:b w:val="0"/>
                <w:i w:val="0"/>
                <w:color w:val="08090C"/>
                <w:kern w:val="0"/>
                <w:sz w:val="21"/>
                <w:szCs w:val="21"/>
                <w:lang w:val="en-US" w:eastAsia="zh-CN" w:bidi="ar"/>
                <w14:ligatures w14:val="standardContextual"/>
              </w:rPr>
              <w:instrText xml:space="preserve"> HYPERLINK "https://osf.io/k64yt/%EF%BC%9Bdelayed" </w:instrText>
            </w:r>
            <w:r>
              <w:rPr>
                <w:rFonts w:ascii="宋体" w:hAnsi="宋体" w:eastAsia="宋体" w:cs="宋体"/>
                <w:b w:val="0"/>
                <w:i w:val="0"/>
                <w:color w:val="08090C"/>
                <w:kern w:val="0"/>
                <w:sz w:val="21"/>
                <w:szCs w:val="21"/>
                <w:lang w:val="en-US" w:eastAsia="zh-CN" w:bidi="ar"/>
                <w14:ligatures w14:val="standardContextual"/>
              </w:rPr>
              <w:fldChar w:fldCharType="separate"/>
            </w:r>
            <w:r>
              <w:rPr>
                <w:rStyle w:val="6"/>
                <w:rFonts w:ascii="宋体" w:hAnsi="宋体" w:eastAsia="宋体" w:cs="宋体"/>
                <w:b w:val="0"/>
                <w:i w:val="0"/>
                <w:color w:val="08090C"/>
                <w:sz w:val="21"/>
                <w:szCs w:val="21"/>
              </w:rPr>
              <w:t>https://osf.io/k64yt/；delayed</w:t>
            </w:r>
            <w:r>
              <w:rPr>
                <w:rFonts w:ascii="宋体" w:hAnsi="宋体" w:eastAsia="宋体" w:cs="宋体"/>
                <w:b w:val="0"/>
                <w:i w:val="0"/>
                <w:color w:val="08090C"/>
                <w:kern w:val="0"/>
                <w:sz w:val="21"/>
                <w:szCs w:val="21"/>
                <w:lang w:val="en-US" w:eastAsia="zh-CN" w:bidi="ar"/>
                <w14:ligatures w14:val="standardContextual"/>
              </w:rPr>
              <w:fldChar w:fldCharType="end"/>
            </w:r>
            <w:r>
              <w:rPr>
                <w:rFonts w:ascii="宋体" w:hAnsi="宋体" w:eastAsia="宋体" w:cs="宋体"/>
                <w:b w:val="0"/>
                <w:i w:val="0"/>
                <w:color w:val="08090C"/>
                <w:kern w:val="0"/>
                <w:sz w:val="21"/>
                <w:szCs w:val="21"/>
                <w:lang w:val="en-US" w:eastAsia="zh-CN" w:bidi="ar"/>
                <w14:ligatures w14:val="standardContextual"/>
              </w:rPr>
              <w:t xml:space="preserve"> session 2 数据：</w:t>
            </w:r>
            <w:r>
              <w:rPr>
                <w:rFonts w:ascii="宋体" w:hAnsi="宋体" w:eastAsia="宋体" w:cs="宋体"/>
                <w:b w:val="0"/>
                <w:i w:val="0"/>
                <w:color w:val="08090C"/>
                <w:kern w:val="0"/>
                <w:sz w:val="21"/>
                <w:szCs w:val="21"/>
                <w:lang w:val="en-US" w:eastAsia="zh-CN" w:bidi="ar"/>
                <w14:ligatures w14:val="standardContextual"/>
              </w:rPr>
              <w:fldChar w:fldCharType="begin"/>
            </w:r>
            <w:r>
              <w:rPr>
                <w:rFonts w:ascii="宋体" w:hAnsi="宋体" w:eastAsia="宋体" w:cs="宋体"/>
                <w:b w:val="0"/>
                <w:i w:val="0"/>
                <w:color w:val="08090C"/>
                <w:kern w:val="0"/>
                <w:sz w:val="21"/>
                <w:szCs w:val="21"/>
                <w:lang w:val="en-US" w:eastAsia="zh-CN" w:bidi="ar"/>
                <w14:ligatures w14:val="standardContextual"/>
              </w:rPr>
              <w:instrText xml:space="preserve"> HYPERLINK "https://osf.io/nbkvg/" </w:instrText>
            </w:r>
            <w:r>
              <w:rPr>
                <w:rFonts w:ascii="宋体" w:hAnsi="宋体" w:eastAsia="宋体" w:cs="宋体"/>
                <w:b w:val="0"/>
                <w:i w:val="0"/>
                <w:color w:val="08090C"/>
                <w:kern w:val="0"/>
                <w:sz w:val="21"/>
                <w:szCs w:val="21"/>
                <w:lang w:val="en-US" w:eastAsia="zh-CN" w:bidi="ar"/>
                <w14:ligatures w14:val="standardContextual"/>
              </w:rPr>
              <w:fldChar w:fldCharType="separate"/>
            </w:r>
            <w:r>
              <w:rPr>
                <w:rStyle w:val="6"/>
                <w:rFonts w:ascii="宋体" w:hAnsi="宋体" w:eastAsia="宋体" w:cs="宋体"/>
                <w:b w:val="0"/>
                <w:i w:val="0"/>
                <w:color w:val="08090C"/>
                <w:sz w:val="21"/>
                <w:szCs w:val="21"/>
              </w:rPr>
              <w:t>https://osf.io/nbkvg/</w:t>
            </w:r>
            <w:r>
              <w:rPr>
                <w:rFonts w:ascii="宋体" w:hAnsi="宋体" w:eastAsia="宋体" w:cs="宋体"/>
                <w:b w:val="0"/>
                <w:i w:val="0"/>
                <w:color w:val="08090C"/>
                <w:kern w:val="0"/>
                <w:sz w:val="21"/>
                <w:szCs w:val="21"/>
                <w:lang w:val="en-US" w:eastAsia="zh-CN" w:bidi="ar"/>
                <w14:ligatures w14:val="standardContextual"/>
              </w:rPr>
              <w:fldChar w:fldCharType="end"/>
            </w:r>
          </w:p>
        </w:tc>
      </w:tr>
      <w:tr w14:paraId="4AAF6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060CD617">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文献主题是否包含不止一篇研究？</w:t>
            </w:r>
          </w:p>
        </w:tc>
        <w:tc>
          <w:tcPr>
            <w:tcW w:w="0" w:type="auto"/>
            <w:tcBorders>
              <w:top w:val="nil"/>
              <w:left w:val="nil"/>
              <w:bottom w:val="nil"/>
              <w:right w:val="nil"/>
            </w:tcBorders>
            <w:shd w:val="clear" w:color="auto" w:fill="FFFFFF"/>
            <w:vAlign w:val="center"/>
          </w:tcPr>
          <w:p w14:paraId="0A46C5F7">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是，但不包含元分析研究。该主题至少包含 Vul 与 Pashler（2008）的原始研究、Steegen 等人（2014）的预注册复现研究，以及 Steegen 等人（2014）在引言中讨论的其他相关复现尝试。Steegen 等人指出，已有若干研究尝试复现 immediate condition 的 crowd within 效应，但 delayed condition 当时尚无已知复现尝试。</w:t>
            </w:r>
          </w:p>
        </w:tc>
      </w:tr>
      <w:tr w14:paraId="69026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094D1E5E">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文献此前被其他研究者重复过？</w:t>
            </w:r>
          </w:p>
        </w:tc>
        <w:tc>
          <w:tcPr>
            <w:tcW w:w="0" w:type="auto"/>
            <w:tcBorders>
              <w:top w:val="nil"/>
              <w:left w:val="nil"/>
              <w:bottom w:val="nil"/>
              <w:right w:val="nil"/>
            </w:tcBorders>
            <w:shd w:val="clear" w:color="auto" w:fill="FFFFFF"/>
            <w:vAlign w:val="center"/>
          </w:tcPr>
          <w:p w14:paraId="6F2E48A8">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是。Steegen 等人（2014）本身就是对 Vul 与 Pashler（2008）原始研究的高功效、预注册复现。</w:t>
            </w:r>
          </w:p>
        </w:tc>
      </w:tr>
      <w:tr w14:paraId="0E680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11CA23C2">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重复的研究假设</w:t>
            </w:r>
          </w:p>
        </w:tc>
        <w:tc>
          <w:tcPr>
            <w:tcW w:w="0" w:type="auto"/>
            <w:tcBorders>
              <w:top w:val="nil"/>
              <w:left w:val="nil"/>
              <w:bottom w:val="nil"/>
              <w:right w:val="nil"/>
            </w:tcBorders>
            <w:shd w:val="clear" w:color="auto" w:fill="FFFFFF"/>
            <w:vAlign w:val="center"/>
          </w:tcPr>
          <w:p w14:paraId="11205D6F">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本报告检验 Steegen 等人（2014）中 immediate condition 和 delayed condition 的核心行为结果，即同一被试对 8 个现实知识问题进行两次估计后，两次估计平均值的平均平方误差（MSE）是否显著低于单次估计的 MSE。具体包括：immediate condition 中 Guess 1 vs. Average、Guess 2 vs. Average，以及 delayed condition 中 Guess 1 vs. Average、Guess 2 vs. Average。</w:t>
            </w:r>
          </w:p>
        </w:tc>
      </w:tr>
      <w:tr w14:paraId="0ED0D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65C20067">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重复的研究假设是否在其他研究中经过重复？</w:t>
            </w:r>
          </w:p>
        </w:tc>
        <w:tc>
          <w:tcPr>
            <w:tcW w:w="0" w:type="auto"/>
            <w:tcBorders>
              <w:top w:val="nil"/>
              <w:left w:val="nil"/>
              <w:bottom w:val="nil"/>
              <w:right w:val="nil"/>
            </w:tcBorders>
            <w:shd w:val="clear" w:color="auto" w:fill="FFFFFF"/>
            <w:vAlign w:val="center"/>
          </w:tcPr>
          <w:p w14:paraId="678B486C">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是。该假设最早来自 Vul 与 Pashler（2008），Steegen 等人（2014）对其进行了预注册复现。本报告进一步对 Steegen 等人（2014）的公开数据和统计结果进行计算可复现性检验。</w:t>
            </w:r>
          </w:p>
        </w:tc>
      </w:tr>
      <w:tr w14:paraId="79A60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23809AB7">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文献共几个实验，重复的研究假设是第几个实验中的？</w:t>
            </w:r>
          </w:p>
        </w:tc>
        <w:tc>
          <w:tcPr>
            <w:tcW w:w="0" w:type="auto"/>
            <w:tcBorders>
              <w:top w:val="nil"/>
              <w:left w:val="nil"/>
              <w:bottom w:val="nil"/>
              <w:right w:val="nil"/>
            </w:tcBorders>
            <w:shd w:val="clear" w:color="auto" w:fill="FFFFFF"/>
            <w:vAlign w:val="center"/>
          </w:tcPr>
          <w:p w14:paraId="60A85341">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Steegen 等人（2014）主要包含两个实验条件：immediate condition 和 delayed condition。本报告复现这两个条件中的核心确认性行为结果。</w:t>
            </w:r>
          </w:p>
        </w:tc>
      </w:tr>
      <w:tr w14:paraId="3A7A4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4B1034C9">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选择该假设的原因</w:t>
            </w:r>
          </w:p>
        </w:tc>
        <w:tc>
          <w:tcPr>
            <w:tcW w:w="0" w:type="auto"/>
            <w:tcBorders>
              <w:top w:val="nil"/>
              <w:left w:val="nil"/>
              <w:bottom w:val="nil"/>
              <w:right w:val="nil"/>
            </w:tcBorders>
            <w:shd w:val="clear" w:color="auto" w:fill="FFFFFF"/>
            <w:vAlign w:val="center"/>
          </w:tcPr>
          <w:p w14:paraId="6FBF64E6">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 xml:space="preserve">第一，该项目来自 Science 2015 RPP 总项目的数据表，对应原始研究发表于 </w:t>
            </w:r>
            <w:r>
              <w:rPr>
                <w:rStyle w:val="5"/>
                <w:rFonts w:ascii="宋体" w:hAnsi="宋体" w:eastAsia="宋体" w:cs="宋体"/>
                <w:b w:val="0"/>
                <w:i w:val="0"/>
                <w:color w:val="08090C"/>
                <w:kern w:val="0"/>
                <w:sz w:val="21"/>
                <w:szCs w:val="21"/>
                <w:lang w:val="en-US" w:eastAsia="zh-CN" w:bidi="ar"/>
                <w14:ligatures w14:val="standardContextual"/>
              </w:rPr>
              <w:t>Psychological Science</w:t>
            </w:r>
            <w:r>
              <w:rPr>
                <w:rFonts w:ascii="宋体" w:hAnsi="宋体" w:eastAsia="宋体" w:cs="宋体"/>
                <w:b w:val="0"/>
                <w:i w:val="0"/>
                <w:color w:val="08090C"/>
                <w:kern w:val="0"/>
                <w:sz w:val="21"/>
                <w:szCs w:val="21"/>
                <w:lang w:val="en-US" w:eastAsia="zh-CN" w:bidi="ar"/>
                <w14:ligatures w14:val="standardContextual"/>
              </w:rPr>
              <w:t>，符合课程从开放心理学研究中选取可复现项目的要求。第二，Steegen 等人（2014）是该 RPP 条目对应的预注册复现研究，公开了原始数据、处理后数据和分析代码，适合进行计算可复现性检验。第三，crowd within 效应的核心假设明确，主要分析涉及描述性统计、配对 t 检验、Cohen’s dz、置信区间和 Bayes factor，适合用 R 语言进行复现。</w:t>
            </w:r>
          </w:p>
        </w:tc>
      </w:tr>
      <w:tr w14:paraId="4F4F0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61C60F17">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是否采用原始数据？</w:t>
            </w:r>
          </w:p>
        </w:tc>
        <w:tc>
          <w:tcPr>
            <w:tcW w:w="0" w:type="auto"/>
            <w:tcBorders>
              <w:top w:val="nil"/>
              <w:left w:val="nil"/>
              <w:bottom w:val="nil"/>
              <w:right w:val="nil"/>
            </w:tcBorders>
            <w:shd w:val="clear" w:color="auto" w:fill="FFFFFF"/>
            <w:vAlign w:val="center"/>
          </w:tcPr>
          <w:p w14:paraId="34F5B7A9">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是。本研究采用 Steegen 等人（2014）公开的复现项目原始数据，并依据其报告的数据清洗与分析流程进行处理。</w:t>
            </w:r>
          </w:p>
        </w:tc>
      </w:tr>
      <w:tr w14:paraId="788AC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76B1869C">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是否对样本量进行修改？</w:t>
            </w:r>
          </w:p>
        </w:tc>
        <w:tc>
          <w:tcPr>
            <w:tcW w:w="0" w:type="auto"/>
            <w:tcBorders>
              <w:top w:val="nil"/>
              <w:left w:val="nil"/>
              <w:bottom w:val="nil"/>
              <w:right w:val="nil"/>
            </w:tcBorders>
            <w:shd w:val="clear" w:color="auto" w:fill="FFFFFF"/>
            <w:vAlign w:val="center"/>
          </w:tcPr>
          <w:p w14:paraId="0A03B431">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否。相对于 Steegen 等人（2014）最终报告的分析样本，本研究未额外修改样本量；只是按照原文清洗标准从原始数据得到相同的最终分析样本。</w:t>
            </w:r>
          </w:p>
        </w:tc>
      </w:tr>
      <w:tr w14:paraId="1FB71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05DFC409">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原始样本量和最终样本量</w:t>
            </w:r>
          </w:p>
        </w:tc>
        <w:tc>
          <w:tcPr>
            <w:tcW w:w="0" w:type="auto"/>
            <w:tcBorders>
              <w:top w:val="nil"/>
              <w:left w:val="nil"/>
              <w:bottom w:val="nil"/>
              <w:right w:val="nil"/>
            </w:tcBorders>
            <w:shd w:val="clear" w:color="auto" w:fill="FFFFFF"/>
            <w:vAlign w:val="center"/>
          </w:tcPr>
          <w:p w14:paraId="1AB9A580">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Immediate condition：原始 N = 484，最终分析 N = 471。Delayed condition：第一阶段 N = 231，第二阶段 N = 171，最终分析 N = 140。Steegen 等人（2014）在结果部分报告了相同的样本筛选过程。</w:t>
            </w:r>
          </w:p>
        </w:tc>
      </w:tr>
      <w:tr w14:paraId="2B50F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000000" w:themeColor="dark1" w:sz="12" w:space="0"/>
              <w:right w:val="nil"/>
            </w:tcBorders>
            <w:shd w:val="clear" w:color="auto" w:fill="FFFFFF"/>
            <w:vAlign w:val="center"/>
          </w:tcPr>
          <w:p w14:paraId="21D38970">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G*Power 说明</w:t>
            </w:r>
          </w:p>
        </w:tc>
        <w:tc>
          <w:tcPr>
            <w:tcW w:w="0" w:type="auto"/>
            <w:tcBorders>
              <w:top w:val="nil"/>
              <w:left w:val="nil"/>
              <w:bottom w:val="single" w:color="000000" w:themeColor="dark1" w:sz="12" w:space="0"/>
              <w:right w:val="nil"/>
            </w:tcBorders>
            <w:shd w:val="clear" w:color="auto" w:fill="FFFFFF"/>
            <w:vAlign w:val="center"/>
          </w:tcPr>
          <w:p w14:paraId="12CA74B9">
            <w:pPr>
              <w:keepNext w:val="0"/>
              <w:keepLines w:val="0"/>
              <w:widowControl/>
              <w:suppressLineNumbers w:val="0"/>
              <w:jc w:val="left"/>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本研究没有在 Steegen 等人（2014）标准之外改变最终分析样本，因此不重新进行样本量规划。Steegen 等人（2014）原研究已进行了功效分析，并据此规划 immediate condition 至少 N = 439、delayed condition 至少 N = 48。</w:t>
            </w:r>
          </w:p>
        </w:tc>
      </w:tr>
    </w:tbl>
    <w:p w14:paraId="691E437C">
      <w:pPr>
        <w:spacing w:line="300" w:lineRule="auto"/>
        <w:jc w:val="center"/>
        <w:rPr>
          <w:rFonts w:hint="eastAsia" w:ascii="Times New Roman" w:hAnsi="Times New Roman" w:eastAsia="黑体" w:cs="Times New Roman"/>
          <w:b/>
          <w:bCs/>
          <w:sz w:val="18"/>
          <w:szCs w:val="18"/>
          <w14:ligatures w14:val="none"/>
        </w:rPr>
      </w:pPr>
    </w:p>
    <w:p w14:paraId="35DC7FBC">
      <w:pPr>
        <w:spacing w:line="300" w:lineRule="auto"/>
        <w:ind w:firstLine="422"/>
        <w:contextualSpacing/>
        <w:rPr>
          <w:rFonts w:ascii="Times New Roman" w:hAnsi="Times New Roman" w:eastAsia="宋体" w:cs="Times New Roman"/>
          <w:b/>
          <w:bCs/>
          <w:szCs w:val="24"/>
          <w14:ligatures w14:val="none"/>
        </w:rPr>
      </w:pPr>
    </w:p>
    <w:p w14:paraId="35DC7FBD">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70586913">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Vul 与 Pashler（2008）提出了 “the crowd within” 效应。传统的 “wisdom of crowds” 指的是群体平均判断通常比个体判断更准确，因为不同个体之间的误差具有一定独立性。Vul 与 Pashler 进一步提出，类似的平均化收益也可能发生在单个个体内部：如果一个人的判断不是来自唯一确定的最佳答案，而是来自内部概率分布的抽样，那么同一个人对同一问题做两次估计时，两次估计中的误差只要具有一定独立性，其平均值就可能比任一次单独估计更准确。原研究招募 428 名互联网被试，让被试回答 8 个现实知识问题，并设置 immediate condition 和 delayed condition 两种条件；结果显示，两次估计平均值的 MSE 低于单次估计 MSE，且三周延迟条件下的平均化收益更大。</w:t>
      </w:r>
    </w:p>
    <w:p w14:paraId="78BE5E49">
      <w:pPr>
        <w:spacing w:line="300" w:lineRule="auto"/>
        <w:ind w:firstLine="420" w:firstLineChars="200"/>
        <w:rPr>
          <w:rFonts w:hint="eastAsia" w:ascii="Times New Roman" w:hAnsi="Times New Roman" w:eastAsia="宋体" w:cs="Times New Roman"/>
          <w:szCs w:val="24"/>
          <w14:ligatures w14:val="none"/>
        </w:rPr>
      </w:pPr>
    </w:p>
    <w:p w14:paraId="59AF9997">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Steegen 等人（2014）对 Vul 与 Pashler（2008）的研究进行了高功效、预注册复现。该研究认为，crowd within 效应具有重要理论意义，因为它支持个体知识判断可能来自内部概率分布的观点；同时，该效应也具有现实意义，因为它为日常决策中“睡一觉再决定”的经验提供了量化证据。Steegen 等人（2014）分别复现了 immediate condition 和 delayed condition，并使用传统显著性检验、效应量及其置信区间、Bayes factor 等多种指标评价复现结果。其结果显示，无论第二次估计是在第一次估计之后立即进行，还是三周后进行，两次估计的平均值均比单次估计更准确，因此成功复现了 crowd within 效应。</w:t>
      </w:r>
    </w:p>
    <w:p w14:paraId="221DA6C7">
      <w:pPr>
        <w:spacing w:line="300" w:lineRule="auto"/>
        <w:ind w:firstLine="420" w:firstLineChars="200"/>
        <w:rPr>
          <w:rFonts w:hint="eastAsia" w:ascii="Times New Roman" w:hAnsi="Times New Roman" w:eastAsia="宋体" w:cs="Times New Roman"/>
          <w:szCs w:val="24"/>
          <w14:ligatures w14:val="none"/>
        </w:rPr>
      </w:pPr>
    </w:p>
    <w:p w14:paraId="35DC7FBE">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需要说明的是，Steegen 等人（2014）的数据并不是 Vul 与 Pashler（2008）的同一批被试数据，而是重新收集的新复现实验数据。Steegen 等人（2014）使用 Leuven 大学心理学学生作为样本，并将原研究的现实知识问题翻译为荷兰语，同时更新了部分题目的标准答案。原文也明确指出，这些是该复现研究与原始研究之间的已知差异。 因此，本报告的直接计算可复现性对象是 Steegen 等人（2014）的公开复现数据与统计结果，而 Vul 与 Pashler（2008）作为原始理论来源和研究假设来源。</w:t>
      </w:r>
    </w:p>
    <w:p w14:paraId="35DC7FBF">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样本</w:t>
      </w:r>
    </w:p>
    <w:p w14:paraId="0820CAC3">
      <w:pPr>
        <w:spacing w:line="300" w:lineRule="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本研究使用 Steegen 等人（2014）公开于 OSF 的数据，对其 immediate condition 和 delayed condition 的核心行为分析结果进行复现。</w:t>
      </w:r>
    </w:p>
    <w:p w14:paraId="4C4C7A01">
      <w:pPr>
        <w:spacing w:line="300" w:lineRule="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 immediate condition 中，Steegen 等人（2014）共招募 484 名心理学学生。原文报告其中 11 名被试未完成实验，因此被排除；另有 2 名被试自报曾查找问题答案，因此也被排除。最终 immediate condition 的分析样本为 471 名被试，其中女性 397 名，男性 74 名，平均年龄为 19.2 岁，标准差为 2.8。</w:t>
      </w:r>
    </w:p>
    <w:p w14:paraId="7A2F98D1">
      <w:pPr>
        <w:spacing w:line="300" w:lineRule="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 delayed condition 中，Steegen 等人（2014）第一阶段共有 231 名心理学学生参与，第二阶段有 171 名学生继续参与。原文报告排除了 9 名未完成一个或两个阶段的被试、21 名在实验中离开浏览器窗口的被试，以及 1 名自报查找答案的被试。最终 delayed condition 的分析样本为 140 名被试，其中女性 125 名，男性 15 名，平均年龄为 22.0 岁，标准差为 3.1。</w:t>
      </w:r>
    </w:p>
    <w:p w14:paraId="39209BEC">
      <w:pPr>
        <w:spacing w:line="300" w:lineRule="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本研究没有在 Steegen 等人（2014）原有标准之外进一步改变样本量，而是按照其数据清洗逻辑重新处理原始数据，得到与原文一致的最终分析样本。具体清洗流程如下：</w:t>
      </w:r>
    </w:p>
    <w:p w14:paraId="4C90F422">
      <w:pPr>
        <w:spacing w:line="300" w:lineRule="auto"/>
        <w:jc w:val="center"/>
        <w:rPr>
          <w:rFonts w:hint="eastAsia" w:ascii="黑体" w:hAnsi="黑体" w:eastAsia="黑体" w:cs="黑体"/>
          <w:b/>
          <w:bCs/>
          <w:sz w:val="18"/>
          <w:szCs w:val="18"/>
          <w14:ligatures w14:val="none"/>
        </w:rPr>
      </w:pPr>
      <w:r>
        <w:rPr>
          <w:rFonts w:hint="eastAsia" w:ascii="黑体" w:hAnsi="黑体" w:eastAsia="黑体" w:cs="黑体"/>
          <w:b/>
          <w:bCs/>
          <w:sz w:val="18"/>
          <w:szCs w:val="18"/>
        </w:rPr>
        <w:t>表 2 数据清洗流程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0"/>
        <w:gridCol w:w="3630"/>
        <w:gridCol w:w="1425"/>
        <w:gridCol w:w="690"/>
        <w:gridCol w:w="1440"/>
      </w:tblGrid>
      <w:tr w14:paraId="7CCDA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630287AE">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条件</w:t>
            </w:r>
          </w:p>
        </w:tc>
        <w:tc>
          <w:tcPr>
            <w:tcW w:w="0" w:type="auto"/>
            <w:tcBorders>
              <w:top w:val="single" w:color="000000" w:sz="12" w:space="0"/>
              <w:bottom w:val="single" w:color="000000" w:sz="4" w:space="0"/>
            </w:tcBorders>
            <w:shd w:val="clear" w:color="auto" w:fill="FFFFFF"/>
            <w:vAlign w:val="center"/>
          </w:tcPr>
          <w:p w14:paraId="0775A6DC">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步骤</w:t>
            </w:r>
          </w:p>
        </w:tc>
        <w:tc>
          <w:tcPr>
            <w:tcW w:w="0" w:type="auto"/>
            <w:tcBorders>
              <w:top w:val="single" w:color="000000" w:sz="12" w:space="0"/>
              <w:bottom w:val="single" w:color="000000" w:sz="4" w:space="0"/>
            </w:tcBorders>
            <w:shd w:val="clear" w:color="auto" w:fill="FFFFFF"/>
            <w:vAlign w:val="center"/>
          </w:tcPr>
          <w:p w14:paraId="5CDF84A5">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原始/前一步 N</w:t>
            </w:r>
          </w:p>
        </w:tc>
        <w:tc>
          <w:tcPr>
            <w:tcW w:w="0" w:type="auto"/>
            <w:tcBorders>
              <w:top w:val="single" w:color="000000" w:sz="12" w:space="0"/>
              <w:bottom w:val="single" w:color="000000" w:sz="4" w:space="0"/>
            </w:tcBorders>
            <w:shd w:val="clear" w:color="auto" w:fill="FFFFFF"/>
            <w:vAlign w:val="center"/>
          </w:tcPr>
          <w:p w14:paraId="480828BF">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排除 N</w:t>
            </w:r>
          </w:p>
        </w:tc>
        <w:tc>
          <w:tcPr>
            <w:tcW w:w="0" w:type="auto"/>
            <w:tcBorders>
              <w:top w:val="single" w:color="000000" w:sz="12" w:space="0"/>
              <w:bottom w:val="single" w:color="000000" w:sz="4" w:space="0"/>
            </w:tcBorders>
            <w:shd w:val="clear" w:color="auto" w:fill="FFFFFF"/>
            <w:vAlign w:val="center"/>
          </w:tcPr>
          <w:p w14:paraId="7BC94E36">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最终/后一步 N</w:t>
            </w:r>
          </w:p>
        </w:tc>
      </w:tr>
      <w:tr w14:paraId="09656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color="auto" w:fill="FFFFFF"/>
            <w:vAlign w:val="center"/>
          </w:tcPr>
          <w:p w14:paraId="1D4A7DB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Immediate</w:t>
            </w:r>
          </w:p>
        </w:tc>
        <w:tc>
          <w:tcPr>
            <w:tcW w:w="0" w:type="auto"/>
            <w:tcBorders>
              <w:top w:val="nil"/>
            </w:tcBorders>
            <w:shd w:val="clear" w:color="auto" w:fill="FFFFFF"/>
            <w:vAlign w:val="center"/>
          </w:tcPr>
          <w:p w14:paraId="7C03B51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原始数据</w:t>
            </w:r>
          </w:p>
        </w:tc>
        <w:tc>
          <w:tcPr>
            <w:tcW w:w="0" w:type="auto"/>
            <w:tcBorders>
              <w:top w:val="nil"/>
            </w:tcBorders>
            <w:shd w:val="clear" w:color="auto" w:fill="FFFFFF"/>
            <w:vAlign w:val="center"/>
          </w:tcPr>
          <w:p w14:paraId="1CFDC8F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w:t>
            </w:r>
          </w:p>
        </w:tc>
        <w:tc>
          <w:tcPr>
            <w:tcW w:w="0" w:type="auto"/>
            <w:tcBorders>
              <w:top w:val="nil"/>
            </w:tcBorders>
            <w:shd w:val="clear" w:color="auto" w:fill="FFFFFF"/>
            <w:vAlign w:val="center"/>
          </w:tcPr>
          <w:p w14:paraId="1D5AF1F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w:t>
            </w:r>
          </w:p>
        </w:tc>
        <w:tc>
          <w:tcPr>
            <w:tcW w:w="0" w:type="auto"/>
            <w:tcBorders>
              <w:top w:val="nil"/>
            </w:tcBorders>
            <w:shd w:val="clear" w:color="auto" w:fill="FFFFFF"/>
            <w:vAlign w:val="center"/>
          </w:tcPr>
          <w:p w14:paraId="6DA54CFD">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484</w:t>
            </w:r>
          </w:p>
        </w:tc>
      </w:tr>
      <w:tr w14:paraId="1CBB6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7F00D3C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Immediate</w:t>
            </w:r>
          </w:p>
        </w:tc>
        <w:tc>
          <w:tcPr>
            <w:tcW w:w="0" w:type="auto"/>
            <w:shd w:val="clear" w:color="auto" w:fill="FFFFFF"/>
            <w:vAlign w:val="center"/>
          </w:tcPr>
          <w:p w14:paraId="0A511E2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排除缺失回答</w:t>
            </w:r>
          </w:p>
        </w:tc>
        <w:tc>
          <w:tcPr>
            <w:tcW w:w="0" w:type="auto"/>
            <w:shd w:val="clear" w:color="auto" w:fill="FFFFFF"/>
            <w:vAlign w:val="center"/>
          </w:tcPr>
          <w:p w14:paraId="433E98C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484</w:t>
            </w:r>
          </w:p>
        </w:tc>
        <w:tc>
          <w:tcPr>
            <w:tcW w:w="0" w:type="auto"/>
            <w:shd w:val="clear" w:color="auto" w:fill="FFFFFF"/>
            <w:vAlign w:val="center"/>
          </w:tcPr>
          <w:p w14:paraId="0D2E1C2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11</w:t>
            </w:r>
          </w:p>
        </w:tc>
        <w:tc>
          <w:tcPr>
            <w:tcW w:w="0" w:type="auto"/>
            <w:shd w:val="clear" w:color="auto" w:fill="FFFFFF"/>
            <w:vAlign w:val="center"/>
          </w:tcPr>
          <w:p w14:paraId="0449A49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473</w:t>
            </w:r>
          </w:p>
        </w:tc>
      </w:tr>
      <w:tr w14:paraId="36175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679A84B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Immediate</w:t>
            </w:r>
          </w:p>
        </w:tc>
        <w:tc>
          <w:tcPr>
            <w:tcW w:w="0" w:type="auto"/>
            <w:shd w:val="clear" w:color="auto" w:fill="FFFFFF"/>
            <w:vAlign w:val="center"/>
          </w:tcPr>
          <w:p w14:paraId="661484A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排除自报作弊/查找答案者</w:t>
            </w:r>
          </w:p>
        </w:tc>
        <w:tc>
          <w:tcPr>
            <w:tcW w:w="0" w:type="auto"/>
            <w:shd w:val="clear" w:color="auto" w:fill="FFFFFF"/>
            <w:vAlign w:val="center"/>
          </w:tcPr>
          <w:p w14:paraId="5701CAA5">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473</w:t>
            </w:r>
          </w:p>
        </w:tc>
        <w:tc>
          <w:tcPr>
            <w:tcW w:w="0" w:type="auto"/>
            <w:shd w:val="clear" w:color="auto" w:fill="FFFFFF"/>
            <w:vAlign w:val="center"/>
          </w:tcPr>
          <w:p w14:paraId="265A3B8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2</w:t>
            </w:r>
          </w:p>
        </w:tc>
        <w:tc>
          <w:tcPr>
            <w:tcW w:w="0" w:type="auto"/>
            <w:shd w:val="clear" w:color="auto" w:fill="FFFFFF"/>
            <w:vAlign w:val="center"/>
          </w:tcPr>
          <w:p w14:paraId="47DDAC0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471</w:t>
            </w:r>
          </w:p>
        </w:tc>
      </w:tr>
      <w:tr w14:paraId="5E373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0DE898F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Delayed</w:t>
            </w:r>
          </w:p>
        </w:tc>
        <w:tc>
          <w:tcPr>
            <w:tcW w:w="0" w:type="auto"/>
            <w:shd w:val="clear" w:color="auto" w:fill="FFFFFF"/>
            <w:vAlign w:val="center"/>
          </w:tcPr>
          <w:p w14:paraId="378BC42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第 1 次测量原始数据</w:t>
            </w:r>
          </w:p>
        </w:tc>
        <w:tc>
          <w:tcPr>
            <w:tcW w:w="0" w:type="auto"/>
            <w:shd w:val="clear" w:color="auto" w:fill="FFFFFF"/>
            <w:vAlign w:val="center"/>
          </w:tcPr>
          <w:p w14:paraId="0339D16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w:t>
            </w:r>
          </w:p>
        </w:tc>
        <w:tc>
          <w:tcPr>
            <w:tcW w:w="0" w:type="auto"/>
            <w:shd w:val="clear" w:color="auto" w:fill="FFFFFF"/>
            <w:vAlign w:val="center"/>
          </w:tcPr>
          <w:p w14:paraId="34BE6B45">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w:t>
            </w:r>
          </w:p>
        </w:tc>
        <w:tc>
          <w:tcPr>
            <w:tcW w:w="0" w:type="auto"/>
            <w:shd w:val="clear" w:color="auto" w:fill="FFFFFF"/>
            <w:vAlign w:val="center"/>
          </w:tcPr>
          <w:p w14:paraId="1FEA479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231</w:t>
            </w:r>
          </w:p>
        </w:tc>
      </w:tr>
      <w:tr w14:paraId="7C8FB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00269DC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Delayed</w:t>
            </w:r>
          </w:p>
        </w:tc>
        <w:tc>
          <w:tcPr>
            <w:tcW w:w="0" w:type="auto"/>
            <w:shd w:val="clear" w:color="auto" w:fill="FFFFFF"/>
            <w:vAlign w:val="center"/>
          </w:tcPr>
          <w:p w14:paraId="685E37B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第 2 次测量原始数据</w:t>
            </w:r>
          </w:p>
        </w:tc>
        <w:tc>
          <w:tcPr>
            <w:tcW w:w="0" w:type="auto"/>
            <w:shd w:val="clear" w:color="auto" w:fill="FFFFFF"/>
            <w:vAlign w:val="center"/>
          </w:tcPr>
          <w:p w14:paraId="6BAF8CED">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w:t>
            </w:r>
          </w:p>
        </w:tc>
        <w:tc>
          <w:tcPr>
            <w:tcW w:w="0" w:type="auto"/>
            <w:shd w:val="clear" w:color="auto" w:fill="FFFFFF"/>
            <w:vAlign w:val="center"/>
          </w:tcPr>
          <w:p w14:paraId="0FFB97F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w:t>
            </w:r>
          </w:p>
        </w:tc>
        <w:tc>
          <w:tcPr>
            <w:tcW w:w="0" w:type="auto"/>
            <w:shd w:val="clear" w:color="auto" w:fill="FFFFFF"/>
            <w:vAlign w:val="center"/>
          </w:tcPr>
          <w:p w14:paraId="57B463A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171</w:t>
            </w:r>
          </w:p>
        </w:tc>
      </w:tr>
      <w:tr w14:paraId="3D162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49B086C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Delayed</w:t>
            </w:r>
          </w:p>
        </w:tc>
        <w:tc>
          <w:tcPr>
            <w:tcW w:w="0" w:type="auto"/>
            <w:shd w:val="clear" w:color="auto" w:fill="FFFFFF"/>
            <w:vAlign w:val="center"/>
          </w:tcPr>
          <w:p w14:paraId="5A55F0B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合并第 1 和第 2 次测量数据</w:t>
            </w:r>
          </w:p>
        </w:tc>
        <w:tc>
          <w:tcPr>
            <w:tcW w:w="0" w:type="auto"/>
            <w:shd w:val="clear" w:color="auto" w:fill="FFFFFF"/>
            <w:vAlign w:val="center"/>
          </w:tcPr>
          <w:p w14:paraId="7B6D8221">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w:t>
            </w:r>
          </w:p>
        </w:tc>
        <w:tc>
          <w:tcPr>
            <w:tcW w:w="0" w:type="auto"/>
            <w:shd w:val="clear" w:color="auto" w:fill="FFFFFF"/>
            <w:vAlign w:val="center"/>
          </w:tcPr>
          <w:p w14:paraId="448942D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w:t>
            </w:r>
          </w:p>
        </w:tc>
        <w:tc>
          <w:tcPr>
            <w:tcW w:w="0" w:type="auto"/>
            <w:shd w:val="clear" w:color="auto" w:fill="FFFFFF"/>
            <w:vAlign w:val="center"/>
          </w:tcPr>
          <w:p w14:paraId="745DC0C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174</w:t>
            </w:r>
          </w:p>
        </w:tc>
      </w:tr>
      <w:tr w14:paraId="2B445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219D4EA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Delayed</w:t>
            </w:r>
          </w:p>
        </w:tc>
        <w:tc>
          <w:tcPr>
            <w:tcW w:w="0" w:type="auto"/>
            <w:shd w:val="clear" w:color="auto" w:fill="FFFFFF"/>
            <w:vAlign w:val="center"/>
          </w:tcPr>
          <w:p w14:paraId="78098F5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排除 defocus_total 不为 0 或缺失者</w:t>
            </w:r>
          </w:p>
        </w:tc>
        <w:tc>
          <w:tcPr>
            <w:tcW w:w="0" w:type="auto"/>
            <w:shd w:val="clear" w:color="auto" w:fill="FFFFFF"/>
            <w:vAlign w:val="center"/>
          </w:tcPr>
          <w:p w14:paraId="339F019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174</w:t>
            </w:r>
          </w:p>
        </w:tc>
        <w:tc>
          <w:tcPr>
            <w:tcW w:w="0" w:type="auto"/>
            <w:shd w:val="clear" w:color="auto" w:fill="FFFFFF"/>
            <w:vAlign w:val="center"/>
          </w:tcPr>
          <w:p w14:paraId="6C4D5D51">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33</w:t>
            </w:r>
          </w:p>
        </w:tc>
        <w:tc>
          <w:tcPr>
            <w:tcW w:w="0" w:type="auto"/>
            <w:shd w:val="clear" w:color="auto" w:fill="FFFFFF"/>
            <w:vAlign w:val="center"/>
          </w:tcPr>
          <w:p w14:paraId="7692417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141</w:t>
            </w:r>
          </w:p>
        </w:tc>
      </w:tr>
      <w:tr w14:paraId="31AA5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4275D98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Delayed</w:t>
            </w:r>
          </w:p>
        </w:tc>
        <w:tc>
          <w:tcPr>
            <w:tcW w:w="0" w:type="auto"/>
            <w:shd w:val="clear" w:color="auto" w:fill="FFFFFF"/>
            <w:vAlign w:val="center"/>
          </w:tcPr>
          <w:p w14:paraId="354CD57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排除缺失回答</w:t>
            </w:r>
          </w:p>
        </w:tc>
        <w:tc>
          <w:tcPr>
            <w:tcW w:w="0" w:type="auto"/>
            <w:shd w:val="clear" w:color="auto" w:fill="FFFFFF"/>
            <w:vAlign w:val="center"/>
          </w:tcPr>
          <w:p w14:paraId="48D5B9D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141</w:t>
            </w:r>
          </w:p>
        </w:tc>
        <w:tc>
          <w:tcPr>
            <w:tcW w:w="0" w:type="auto"/>
            <w:shd w:val="clear" w:color="auto" w:fill="FFFFFF"/>
            <w:vAlign w:val="center"/>
          </w:tcPr>
          <w:p w14:paraId="0EB8BEF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0</w:t>
            </w:r>
          </w:p>
        </w:tc>
        <w:tc>
          <w:tcPr>
            <w:tcW w:w="0" w:type="auto"/>
            <w:shd w:val="clear" w:color="auto" w:fill="FFFFFF"/>
            <w:vAlign w:val="center"/>
          </w:tcPr>
          <w:p w14:paraId="755D7AA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141</w:t>
            </w:r>
          </w:p>
        </w:tc>
      </w:tr>
      <w:tr w14:paraId="23146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0C9C384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Delayed</w:t>
            </w:r>
          </w:p>
        </w:tc>
        <w:tc>
          <w:tcPr>
            <w:tcW w:w="0" w:type="auto"/>
            <w:tcBorders>
              <w:bottom w:val="single" w:color="000000" w:sz="12" w:space="0"/>
            </w:tcBorders>
            <w:shd w:val="clear" w:color="auto" w:fill="FFFFFF"/>
            <w:vAlign w:val="center"/>
          </w:tcPr>
          <w:p w14:paraId="3A678FF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排除自报偷看/查找答案者</w:t>
            </w:r>
          </w:p>
        </w:tc>
        <w:tc>
          <w:tcPr>
            <w:tcW w:w="0" w:type="auto"/>
            <w:tcBorders>
              <w:bottom w:val="single" w:color="000000" w:sz="12" w:space="0"/>
            </w:tcBorders>
            <w:shd w:val="clear" w:color="auto" w:fill="FFFFFF"/>
            <w:vAlign w:val="center"/>
          </w:tcPr>
          <w:p w14:paraId="3ACB1EA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141</w:t>
            </w:r>
          </w:p>
        </w:tc>
        <w:tc>
          <w:tcPr>
            <w:tcW w:w="0" w:type="auto"/>
            <w:tcBorders>
              <w:bottom w:val="single" w:color="000000" w:sz="12" w:space="0"/>
            </w:tcBorders>
            <w:shd w:val="clear" w:color="auto" w:fill="FFFFFF"/>
            <w:vAlign w:val="center"/>
          </w:tcPr>
          <w:p w14:paraId="34B3055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w:t>
            </w:r>
          </w:p>
        </w:tc>
        <w:tc>
          <w:tcPr>
            <w:tcW w:w="0" w:type="auto"/>
            <w:tcBorders>
              <w:bottom w:val="single" w:color="000000" w:sz="12" w:space="0"/>
            </w:tcBorders>
            <w:shd w:val="clear" w:color="auto" w:fill="FFFFFF"/>
            <w:vAlign w:val="center"/>
          </w:tcPr>
          <w:p w14:paraId="39BF724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140</w:t>
            </w:r>
          </w:p>
        </w:tc>
      </w:tr>
    </w:tbl>
    <w:p w14:paraId="51D3654D">
      <w:pPr>
        <w:spacing w:line="300" w:lineRule="auto"/>
        <w:rPr>
          <w:rFonts w:hint="eastAsia" w:ascii="Times New Roman" w:hAnsi="Times New Roman" w:eastAsia="宋体" w:cs="Times New Roman"/>
          <w:szCs w:val="24"/>
          <w14:ligatures w14:val="none"/>
        </w:rPr>
      </w:pPr>
    </w:p>
    <w:p w14:paraId="058AA260">
      <w:pPr>
        <w:spacing w:line="300" w:lineRule="auto"/>
        <w:rPr>
          <w:rFonts w:hint="eastAsia" w:ascii="Times New Roman" w:hAnsi="Times New Roman" w:eastAsia="宋体" w:cs="Times New Roman"/>
          <w:szCs w:val="24"/>
          <w14:ligatures w14:val="none"/>
        </w:rPr>
      </w:pPr>
    </w:p>
    <w:p w14:paraId="35DC7FC3">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7DF4CDE0">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Steegen 等人（2014）的研究是对 Vul 与 Pashler（2008）“crowd within” 效应的预注册复现。研究的核心问题是：同一被试对同一组现实知识问题进行两次估计后，两次估计的平均值是否比任一次单独估计更准确。研究以平均平方误差（mean squared error, MSE）作为估计准确性的指标，MSE 越小表示估计越准确。</w:t>
      </w:r>
    </w:p>
    <w:p w14:paraId="33A64E8E">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实验材料为 8 个现实知识问题，答案均为百分比形式。Steegen 等人（2014）沿用了 Vul 与 Pashler（2008）的题目，但将题目翻译为荷兰语，并根据当时资料更新了正确答案。8 个标准答案分别为：6.3、43.3、32.3、13.4、53.6、54.8、26.4 和 22.4。该组答案也被本研究在 R 代码中作为 answers 或 correctAnswers 输入，用于计算每名被试的估计误差。</w:t>
      </w:r>
    </w:p>
    <w:p w14:paraId="271D4D17">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Steegen 等人（2014）设置了两个实验条件。第一个是 immediate condition，即被试完成第一次估计后，立即被要求对同一组问题进行第二次不同估计。第二个是 delayed condition，即被试在第一次估计后三周，再次对同一组问题进行第二次估计。两个条件都要求被试不要查找答案，并通过全屏作答、浏览器离焦记录以及实验结束后的自报问题来控制作弊或查找答案的可能性。</w:t>
      </w:r>
    </w:p>
    <w:p w14:paraId="31ADBDB9">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原研究的数据预处理包括三个核心步骤。第一，排除未完成实验或存在缺失回答的被试；第二，排除自报查找答案或作弊的被试；第三，在 delayed condition 中，排除浏览器窗口离焦次数不为 0 或相关记录缺失的被试。你的数据清洗代码中也按照这一逻辑处理：immediate condition 中先计算 missing_responses，再排除缺失回答者和 cheated != "Nee" 的被试；delayed condition 中先合并 session 1 和 session 2 数据，再计算 defocus_total 和 missing_responses，并依次排除 defocus_total != 0、缺失回答以及 peaking != "Nee" 的被试。</w:t>
      </w:r>
    </w:p>
    <w:p w14:paraId="774CBE7D">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原研究的主要因变量是被试层面的 MSE。对于 immediate condition，研究分别计算第一次估计的 MSE、第二次估计的 MSE，以及两次估计平均值的 MSE。本研究代码中对应变量为 mse.g1、mse.g2 和 mse.mean。对于 delayed condition，研究分别计算 session 1 的 MSE、session 2 的 MSE，以及两次估计平均值的 MSE。本研究代码中对应变量为 mse.s1、mse.s2 和 mse.mean。具体计算方式为：先将每个题目的被试估计值与标准答案相减并平方，再对 8 个题目的平方误差取平均；Average MSE 则是先对同一题目的两次估计取平均，再与标准答案相减、平方并求 8 题平均。</w:t>
      </w:r>
    </w:p>
    <w:p w14:paraId="668DC0C3">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在统计分析方面，Steegen 等人（2014）主要使用配对 t 检验比较单次估计 MSE 与两次估计平均值 MSE。核心检验包括四个比较：immediate condition 中 Guess 1 vs Average、Guess 2 vs Average，delayed condition 中 Guess 1 vs Average、Guess 2 vs Average。如果单次估计 MSE 显著高于 Average MSE，则说明两次估计的平均值更准确，从而支持 crowd within 效应。原研究还报告了相关系数 r、Cohen’s dz、95% 置信区间、Bayes factor，以及若干补充分析，包括 Guess 1 与 Guess 2 的准确性比较、immediate 与 delayed 条件下 averaging benefit 的比较。</w:t>
      </w:r>
    </w:p>
    <w:p w14:paraId="35DC7FC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65383E21">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本研究的目标不是重新招募被试进行实验复制，而是对 Steegen 等人（2014）公开数据和统计结果进行计算可复现性检验。具体做法是：使用 R 语言读取公开原始数据，按照原文的数据清洗标准重新得到分析样本，计算与原文一致的 MSE 指标，并复现原文报告的描述性统计、配对 t 检验、效应量、置信区间、Bayes factor 和补充分析结果。</w:t>
      </w:r>
    </w:p>
    <w:p w14:paraId="5D4DF2B7">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本研究的代码流程可以分为六个部分。</w:t>
      </w:r>
    </w:p>
    <w:p w14:paraId="2BAC6FD9">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第一，进行数据读取和样本清洗。对于 immediate condition，代码读取 rawdata_immediate.txt，将 q1a 至 q8a 和 q1b 至 q8b 作为两次估计的题目列，计算每名被试是否存在缺失回答；随后排除缺失回答者，并排除自报作弊者，即 cheated == "Nee" 以外的被试。对于 delayed condition，代码分别读取 session 1 和 session 2 的原始数据，以 student_number_simple 为键合并两次测量数据；随后计算浏览器离焦总数 defocus_total 和缺失回答数 missing_responses，并依次保留 defocus_total == 0、missing_responses == 0 且 peaking == "Nee" 的被试。 这一流程得到的最终分析样本为 immediate condition N = 471，delayed condition N = 140，与 Steegen 等人（2014）报告的最终样本量一致。</w:t>
      </w:r>
    </w:p>
    <w:p w14:paraId="74868EFE">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第二，计算核心因变量 MSE。代码将 Steegen 等人（2014）Table 3 中的 8 个正确答案保存为 answers，然后分别计算 immediate condition 的 mse.g1、mse.g2 和 mse.mean，以及 delayed condition 的 mse.s1、mse.s2 和 mse.mean。其中，mse.mean 不是简单平均两个 MSE，而是先对同一问题的两次估计值取平均，再计算该平均估计相对于正确答案的平方误差，最后对 8 个问题求平均。这一点与原文的分析逻辑一致。</w:t>
      </w:r>
    </w:p>
    <w:p w14:paraId="629BB76E">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p>
    <w:p w14:paraId="7C6E2310">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第三，复现描述性统计。描述性统计代码首先检查清洗和 MSE 计算后是否存在 data.immediate、data.delayed 以及所需 MSE 变量；随后计算样本量、年龄均值和标准差、性别人数分布，以及 Table 4 中对应的 MSE 均值、MSE 标准差、单次估计 MSE 与 Average MSE 的相关系数 r 和样本量 n。 这一部分用于复现原文 3.1 Sample 和 Table 4 中的描述性结果。</w:t>
      </w:r>
    </w:p>
    <w:p w14:paraId="33EE66F3">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第四，复现原文核心推断性统计。对于四个核心比较，本研究使用配对 t 检验比较单次估计 MSE 和 Average MSE，包括 immediate condition 的 mse.g1 vs mse.mean、mse.g2 vs mse.mean，以及 delayed condition 的 mse.s1 vs mse.mean、mse.s2 vs mse.mean。同时，本研究根据 t 值和样本量计算 Cohen’s dz，即 dz = t / sqrt(n)，并使用非中心 t 分布计算 Cohen’s dz 的 95% 置信区间。你上传的参数补充代码中专门写了 ci_dz_from_t() 函数，用于根据 t 值、样本量和置信水平计算 dz 的置信区间。</w:t>
      </w:r>
    </w:p>
    <w:p w14:paraId="0D176C97">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第五，复现和补充 Bayes factor 分析。Steegen 等人（2014）Table 5 报告的是支持零假设的 JZS Bayes factor，即 BF01。R 的 BayesFactor 包默认输出 BF10，也就是支持备择假设相对于零假设的证据，因此本研究代码将 BF10 取倒数得到 BF01，即 BF01 = 1 / BF10，以便与原文 Table 5 的报告方向一致。 代码分别对四个核心比较、Guess 1 vs Guess 2 比较，以及 averaging benefit 的组间比较计算 BF01，并根据 BF01 是否小于 1 判断证据更支持差异存在还是支持零假设。</w:t>
      </w:r>
    </w:p>
    <w:p w14:paraId="3837A624">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第六，进行补充分析和计算可复现性评级。补充分析包括两类：一是比较 Guess 1 与 Guess 2 的 MSE，以检验第二次估计是否比第一次估计更不准确；二是计算 averaging benefit，即单次估计 MSE 减去 Average MSE，并比较 delayed condition 与 immediate condition 的 averaging benefit 是否存在差异。相关代码分别使用配对 t 检验和独立样本 t 检验，并计算对应的 Cohen’s dz 或 Cohen’s d。</w:t>
      </w:r>
    </w:p>
    <w:p w14:paraId="6282CDC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在完成各项统计复现后，本研究进一步根据课程要求计算每个可复现数值的百分误差。代码将 Steegen 等人（2014）Table 4 及正文中的原文报告值与本研究 R 输出的复现值逐项配对，比较的指标包括 Single MSE Mean、Single MSE SD、Average MSE Mean、Average MSE SD、相关系数 r、样本量 n、t 值、Cohen’s dz 及其 95% 置信区间上下界。由于原文多数 p 值以 p &lt; .001 形式报告，无法作为具体数值计算百分误差，因此 p 值不纳入 PE 计算。百分误差计算公式为 abs(original_value - reproduced_value) / abs(original_value) * 100。随后根据课程指南将结果评级为完全一致、偏差较小或偏差较大，并标注非零微小偏差主要由原文四舍五入导致。</w:t>
      </w:r>
    </w:p>
    <w:p w14:paraId="6F13D4A8">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因此，本研究的复现思路可以概括为：以 Steegen 等人（2014）公开数据为直接对象，先复现其样本清洗和 MSE 构造，再复现描述性统计和核心配对 t 检验，随后补充效应量置信区间、Bayes factor、Guess 1 vs Guess 2、averaging benefit 比较以及双尾检验结果，最后用百分误差对原文报告结果和本研究复现结果进行逐项比较。整体上，本研究尽量保持与原文相同的数据集、变量定义和统计方法；不同之处主要在于原文使用 Matlab/SPSS，而本研究使用 R 语言重新实现相同分析流程。</w:t>
      </w:r>
    </w:p>
    <w:p w14:paraId="35DC7FC8">
      <w:pPr>
        <w:keepNext w:val="0"/>
        <w:keepLines w:val="0"/>
        <w:pageBreakBefore w:val="0"/>
        <w:widowControl w:val="0"/>
        <w:kinsoku/>
        <w:wordWrap/>
        <w:overflowPunct/>
        <w:topLinePunct w:val="0"/>
        <w:autoSpaceDE/>
        <w:autoSpaceDN/>
        <w:bidi w:val="0"/>
        <w:adjustRightInd/>
        <w:snapToGrid/>
        <w:spacing w:line="300" w:lineRule="auto"/>
        <w:ind w:firstLine="562" w:firstLineChars="200"/>
        <w:textAlignment w:val="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DC7FC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3.1 </w:t>
      </w:r>
      <w:r>
        <w:rPr>
          <w:rFonts w:ascii="Times New Roman" w:hAnsi="Times New Roman" w:eastAsia="宋体" w:cs="Times New Roman"/>
          <w:b/>
          <w:bCs/>
          <w:szCs w:val="24"/>
          <w14:ligatures w14:val="none"/>
        </w:rPr>
        <w:t>描述</w:t>
      </w:r>
      <w:r>
        <w:rPr>
          <w:rFonts w:hint="eastAsia" w:ascii="Times New Roman" w:hAnsi="Times New Roman" w:eastAsia="宋体" w:cs="Times New Roman"/>
          <w:b/>
          <w:bCs/>
          <w:szCs w:val="24"/>
          <w14:ligatures w14:val="none"/>
        </w:rPr>
        <w:t>性</w:t>
      </w:r>
      <w:r>
        <w:rPr>
          <w:rFonts w:ascii="Times New Roman" w:hAnsi="Times New Roman" w:eastAsia="宋体" w:cs="Times New Roman"/>
          <w:b/>
          <w:bCs/>
          <w:szCs w:val="24"/>
          <w14:ligatures w14:val="none"/>
        </w:rPr>
        <w:t>统计</w:t>
      </w:r>
    </w:p>
    <w:p w14:paraId="2BA19C99">
      <w:pPr>
        <w:spacing w:line="300" w:lineRule="auto"/>
        <w:jc w:val="cente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本研究首先复现 Steegen 等人（2014）中 immediate condition 和 delayed condition 的描述性统计结果。原文第 6 页 Table 4 报告了 Guess 1、Guess 2 和 Average 的 MSE 均值、标准差、相关系数、样本量、t 值、p 值和 Cohen’s dz。</w:t>
      </w:r>
    </w:p>
    <w:p w14:paraId="35DC7FCB">
      <w:pPr>
        <w:spacing w:line="300" w:lineRule="auto"/>
        <w:jc w:val="center"/>
        <w:rPr>
          <w:rFonts w:hint="eastAsia"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3</w:t>
      </w:r>
      <w:r>
        <w:rPr>
          <w:rFonts w:ascii="Times New Roman" w:hAnsi="Times New Roman" w:eastAsia="黑体" w:cs="Times New Roman"/>
          <w:b/>
          <w:bCs/>
          <w:sz w:val="18"/>
          <w:szCs w:val="18"/>
          <w14:ligatures w14:val="none"/>
        </w:rPr>
        <w:t xml:space="preserve"> 描述性统计</w:t>
      </w:r>
      <w:r>
        <w:rPr>
          <w:rFonts w:hint="eastAsia" w:ascii="Times New Roman" w:hAnsi="Times New Roman" w:eastAsia="黑体" w:cs="Times New Roman"/>
          <w:b/>
          <w:bCs/>
          <w:sz w:val="18"/>
          <w:szCs w:val="18"/>
          <w14:ligatures w14:val="none"/>
        </w:rPr>
        <w:t>结果的比较</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0"/>
        <w:gridCol w:w="795"/>
        <w:gridCol w:w="900"/>
        <w:gridCol w:w="1325"/>
        <w:gridCol w:w="1536"/>
        <w:gridCol w:w="589"/>
        <w:gridCol w:w="1755"/>
      </w:tblGrid>
      <w:tr w14:paraId="0B259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dark1" w:sz="12" w:space="0"/>
              <w:left w:val="nil"/>
              <w:bottom w:val="single" w:color="000000" w:themeColor="dark1" w:sz="6" w:space="0"/>
              <w:right w:val="nil"/>
            </w:tcBorders>
            <w:shd w:val="clear" w:color="auto" w:fill="FFFFFF"/>
            <w:vAlign w:val="center"/>
          </w:tcPr>
          <w:p w14:paraId="4D657A93">
            <w:pPr>
              <w:keepNext w:val="0"/>
              <w:keepLines w:val="0"/>
              <w:widowControl/>
              <w:suppressLineNumbers w:val="0"/>
              <w:jc w:val="cente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条件</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3EBD61C7">
            <w:pPr>
              <w:keepNext w:val="0"/>
              <w:keepLines w:val="0"/>
              <w:widowControl/>
              <w:suppressLineNumbers w:val="0"/>
              <w:jc w:val="cente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比较</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1D39378A">
            <w:pPr>
              <w:keepNext w:val="0"/>
              <w:keepLines w:val="0"/>
              <w:widowControl/>
              <w:suppressLineNumbers w:val="0"/>
              <w:jc w:val="cente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指标</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0966757C">
            <w:pPr>
              <w:keepNext w:val="0"/>
              <w:keepLines w:val="0"/>
              <w:widowControl/>
              <w:suppressLineNumbers w:val="0"/>
              <w:jc w:val="cente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原文报告结果</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15814546">
            <w:pPr>
              <w:keepNext w:val="0"/>
              <w:keepLines w:val="0"/>
              <w:widowControl/>
              <w:suppressLineNumbers w:val="0"/>
              <w:jc w:val="cente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本研究复现结果</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283CE291">
            <w:pPr>
              <w:keepNext w:val="0"/>
              <w:keepLines w:val="0"/>
              <w:widowControl/>
              <w:suppressLineNumbers w:val="0"/>
              <w:jc w:val="cente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δ/PE</w:t>
            </w:r>
          </w:p>
        </w:tc>
        <w:tc>
          <w:tcPr>
            <w:tcW w:w="0" w:type="auto"/>
            <w:tcBorders>
              <w:top w:val="single" w:color="000000" w:themeColor="dark1" w:sz="12" w:space="0"/>
              <w:left w:val="nil"/>
              <w:bottom w:val="single" w:color="000000" w:themeColor="dark1" w:sz="6" w:space="0"/>
              <w:right w:val="nil"/>
            </w:tcBorders>
            <w:shd w:val="clear" w:color="auto" w:fill="FFFFFF"/>
            <w:vAlign w:val="center"/>
          </w:tcPr>
          <w:p w14:paraId="5657DA2B">
            <w:pPr>
              <w:keepNext w:val="0"/>
              <w:keepLines w:val="0"/>
              <w:widowControl/>
              <w:suppressLineNumbers w:val="0"/>
              <w:jc w:val="cente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评级</w:t>
            </w:r>
          </w:p>
        </w:tc>
      </w:tr>
      <w:tr w14:paraId="684E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60C0D15C">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Immediate</w:t>
            </w:r>
          </w:p>
        </w:tc>
        <w:tc>
          <w:tcPr>
            <w:tcW w:w="0" w:type="auto"/>
            <w:tcBorders>
              <w:top w:val="nil"/>
              <w:left w:val="nil"/>
              <w:bottom w:val="nil"/>
              <w:right w:val="nil"/>
            </w:tcBorders>
            <w:shd w:val="clear" w:color="auto" w:fill="FFFFFF"/>
            <w:vAlign w:val="center"/>
          </w:tcPr>
          <w:p w14:paraId="7F706083">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1</w:t>
            </w:r>
          </w:p>
        </w:tc>
        <w:tc>
          <w:tcPr>
            <w:tcW w:w="0" w:type="auto"/>
            <w:tcBorders>
              <w:top w:val="nil"/>
              <w:left w:val="nil"/>
              <w:bottom w:val="nil"/>
              <w:right w:val="nil"/>
            </w:tcBorders>
            <w:shd w:val="clear" w:color="auto" w:fill="FFFFFF"/>
            <w:vAlign w:val="center"/>
          </w:tcPr>
          <w:p w14:paraId="35385BE9">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N</w:t>
            </w:r>
          </w:p>
        </w:tc>
        <w:tc>
          <w:tcPr>
            <w:tcW w:w="0" w:type="auto"/>
            <w:tcBorders>
              <w:top w:val="nil"/>
              <w:left w:val="nil"/>
              <w:bottom w:val="nil"/>
              <w:right w:val="nil"/>
            </w:tcBorders>
            <w:shd w:val="clear" w:color="auto" w:fill="FFFFFF"/>
            <w:vAlign w:val="center"/>
          </w:tcPr>
          <w:p w14:paraId="122C63EC">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471</w:t>
            </w:r>
          </w:p>
        </w:tc>
        <w:tc>
          <w:tcPr>
            <w:tcW w:w="0" w:type="auto"/>
            <w:tcBorders>
              <w:top w:val="nil"/>
              <w:left w:val="nil"/>
              <w:bottom w:val="nil"/>
              <w:right w:val="nil"/>
            </w:tcBorders>
            <w:shd w:val="clear" w:color="auto" w:fill="FFFFFF"/>
            <w:vAlign w:val="center"/>
          </w:tcPr>
          <w:p w14:paraId="23B6A0A7">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471</w:t>
            </w:r>
          </w:p>
        </w:tc>
        <w:tc>
          <w:tcPr>
            <w:tcW w:w="0" w:type="auto"/>
            <w:tcBorders>
              <w:top w:val="nil"/>
              <w:left w:val="nil"/>
              <w:bottom w:val="nil"/>
              <w:right w:val="nil"/>
            </w:tcBorders>
            <w:shd w:val="clear" w:color="auto" w:fill="FFFFFF"/>
            <w:vAlign w:val="center"/>
          </w:tcPr>
          <w:p w14:paraId="1F83ADC8">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w:t>
            </w:r>
          </w:p>
        </w:tc>
        <w:tc>
          <w:tcPr>
            <w:tcW w:w="0" w:type="auto"/>
            <w:tcBorders>
              <w:top w:val="nil"/>
              <w:left w:val="nil"/>
              <w:bottom w:val="nil"/>
              <w:right w:val="nil"/>
            </w:tcBorders>
            <w:shd w:val="clear" w:color="auto" w:fill="FFFFFF"/>
            <w:vAlign w:val="center"/>
          </w:tcPr>
          <w:p w14:paraId="4D76E585">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完全一致</w:t>
            </w:r>
          </w:p>
        </w:tc>
      </w:tr>
      <w:tr w14:paraId="34A17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1CBB7D7C">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Immediate</w:t>
            </w:r>
          </w:p>
        </w:tc>
        <w:tc>
          <w:tcPr>
            <w:tcW w:w="0" w:type="auto"/>
            <w:tcBorders>
              <w:top w:val="nil"/>
              <w:left w:val="nil"/>
              <w:bottom w:val="nil"/>
              <w:right w:val="nil"/>
            </w:tcBorders>
            <w:shd w:val="clear" w:color="auto" w:fill="FFFFFF"/>
            <w:vAlign w:val="center"/>
          </w:tcPr>
          <w:p w14:paraId="3713600A">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1</w:t>
            </w:r>
          </w:p>
        </w:tc>
        <w:tc>
          <w:tcPr>
            <w:tcW w:w="0" w:type="auto"/>
            <w:tcBorders>
              <w:top w:val="nil"/>
              <w:left w:val="nil"/>
              <w:bottom w:val="nil"/>
              <w:right w:val="nil"/>
            </w:tcBorders>
            <w:shd w:val="clear" w:color="auto" w:fill="FFFFFF"/>
            <w:vAlign w:val="center"/>
          </w:tcPr>
          <w:p w14:paraId="3A13E6D5">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Mean MSE</w:t>
            </w:r>
          </w:p>
        </w:tc>
        <w:tc>
          <w:tcPr>
            <w:tcW w:w="0" w:type="auto"/>
            <w:tcBorders>
              <w:top w:val="nil"/>
              <w:left w:val="nil"/>
              <w:bottom w:val="nil"/>
              <w:right w:val="nil"/>
            </w:tcBorders>
            <w:shd w:val="clear" w:color="auto" w:fill="FFFFFF"/>
            <w:vAlign w:val="center"/>
          </w:tcPr>
          <w:p w14:paraId="27FE6C16">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589</w:t>
            </w:r>
          </w:p>
        </w:tc>
        <w:tc>
          <w:tcPr>
            <w:tcW w:w="0" w:type="auto"/>
            <w:tcBorders>
              <w:top w:val="nil"/>
              <w:left w:val="nil"/>
              <w:bottom w:val="nil"/>
              <w:right w:val="nil"/>
            </w:tcBorders>
            <w:shd w:val="clear" w:color="auto" w:fill="FFFFFF"/>
            <w:vAlign w:val="center"/>
          </w:tcPr>
          <w:p w14:paraId="50297E8B">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589.29</w:t>
            </w:r>
          </w:p>
        </w:tc>
        <w:tc>
          <w:tcPr>
            <w:tcW w:w="0" w:type="auto"/>
            <w:tcBorders>
              <w:top w:val="nil"/>
              <w:left w:val="nil"/>
              <w:bottom w:val="nil"/>
              <w:right w:val="nil"/>
            </w:tcBorders>
            <w:shd w:val="clear" w:color="auto" w:fill="FFFFFF"/>
            <w:vAlign w:val="center"/>
          </w:tcPr>
          <w:p w14:paraId="079D6789">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0.05%</w:t>
            </w:r>
          </w:p>
        </w:tc>
        <w:tc>
          <w:tcPr>
            <w:tcW w:w="0" w:type="auto"/>
            <w:tcBorders>
              <w:top w:val="nil"/>
              <w:left w:val="nil"/>
              <w:bottom w:val="nil"/>
              <w:right w:val="nil"/>
            </w:tcBorders>
            <w:shd w:val="clear" w:color="auto" w:fill="FFFFFF"/>
            <w:vAlign w:val="center"/>
          </w:tcPr>
          <w:p w14:paraId="1F671FE2">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036B4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1A0DA8CE">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Immediate</w:t>
            </w:r>
          </w:p>
        </w:tc>
        <w:tc>
          <w:tcPr>
            <w:tcW w:w="0" w:type="auto"/>
            <w:tcBorders>
              <w:top w:val="nil"/>
              <w:left w:val="nil"/>
              <w:bottom w:val="nil"/>
              <w:right w:val="nil"/>
            </w:tcBorders>
            <w:shd w:val="clear" w:color="auto" w:fill="FFFFFF"/>
            <w:vAlign w:val="center"/>
          </w:tcPr>
          <w:p w14:paraId="38802B0E">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1</w:t>
            </w:r>
          </w:p>
        </w:tc>
        <w:tc>
          <w:tcPr>
            <w:tcW w:w="0" w:type="auto"/>
            <w:tcBorders>
              <w:top w:val="nil"/>
              <w:left w:val="nil"/>
              <w:bottom w:val="nil"/>
              <w:right w:val="nil"/>
            </w:tcBorders>
            <w:shd w:val="clear" w:color="auto" w:fill="FFFFFF"/>
            <w:vAlign w:val="center"/>
          </w:tcPr>
          <w:p w14:paraId="42348CB4">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SD MSE</w:t>
            </w:r>
          </w:p>
        </w:tc>
        <w:tc>
          <w:tcPr>
            <w:tcW w:w="0" w:type="auto"/>
            <w:tcBorders>
              <w:top w:val="nil"/>
              <w:left w:val="nil"/>
              <w:bottom w:val="nil"/>
              <w:right w:val="nil"/>
            </w:tcBorders>
            <w:shd w:val="clear" w:color="auto" w:fill="FFFFFF"/>
            <w:vAlign w:val="center"/>
          </w:tcPr>
          <w:p w14:paraId="728607AE">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336</w:t>
            </w:r>
          </w:p>
        </w:tc>
        <w:tc>
          <w:tcPr>
            <w:tcW w:w="0" w:type="auto"/>
            <w:tcBorders>
              <w:top w:val="nil"/>
              <w:left w:val="nil"/>
              <w:bottom w:val="nil"/>
              <w:right w:val="nil"/>
            </w:tcBorders>
            <w:shd w:val="clear" w:color="auto" w:fill="FFFFFF"/>
            <w:vAlign w:val="center"/>
          </w:tcPr>
          <w:p w14:paraId="3ED6B98C">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336.14</w:t>
            </w:r>
          </w:p>
        </w:tc>
        <w:tc>
          <w:tcPr>
            <w:tcW w:w="0" w:type="auto"/>
            <w:tcBorders>
              <w:top w:val="nil"/>
              <w:left w:val="nil"/>
              <w:bottom w:val="nil"/>
              <w:right w:val="nil"/>
            </w:tcBorders>
            <w:shd w:val="clear" w:color="auto" w:fill="FFFFFF"/>
            <w:vAlign w:val="center"/>
          </w:tcPr>
          <w:p w14:paraId="112B5C3C">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0.04%</w:t>
            </w:r>
          </w:p>
        </w:tc>
        <w:tc>
          <w:tcPr>
            <w:tcW w:w="0" w:type="auto"/>
            <w:tcBorders>
              <w:top w:val="nil"/>
              <w:left w:val="nil"/>
              <w:bottom w:val="nil"/>
              <w:right w:val="nil"/>
            </w:tcBorders>
            <w:shd w:val="clear" w:color="auto" w:fill="FFFFFF"/>
            <w:vAlign w:val="center"/>
          </w:tcPr>
          <w:p w14:paraId="02B5A5B7">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4BFD9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7AEB6F9F">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Immediate</w:t>
            </w:r>
          </w:p>
        </w:tc>
        <w:tc>
          <w:tcPr>
            <w:tcW w:w="0" w:type="auto"/>
            <w:tcBorders>
              <w:top w:val="nil"/>
              <w:left w:val="nil"/>
              <w:bottom w:val="nil"/>
              <w:right w:val="nil"/>
            </w:tcBorders>
            <w:shd w:val="clear" w:color="auto" w:fill="FFFFFF"/>
            <w:vAlign w:val="center"/>
          </w:tcPr>
          <w:p w14:paraId="47233CCD">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Average</w:t>
            </w:r>
          </w:p>
        </w:tc>
        <w:tc>
          <w:tcPr>
            <w:tcW w:w="0" w:type="auto"/>
            <w:tcBorders>
              <w:top w:val="nil"/>
              <w:left w:val="nil"/>
              <w:bottom w:val="nil"/>
              <w:right w:val="nil"/>
            </w:tcBorders>
            <w:shd w:val="clear" w:color="auto" w:fill="FFFFFF"/>
            <w:vAlign w:val="center"/>
          </w:tcPr>
          <w:p w14:paraId="4C6EBC9A">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Mean MSE</w:t>
            </w:r>
          </w:p>
        </w:tc>
        <w:tc>
          <w:tcPr>
            <w:tcW w:w="0" w:type="auto"/>
            <w:tcBorders>
              <w:top w:val="nil"/>
              <w:left w:val="nil"/>
              <w:bottom w:val="nil"/>
              <w:right w:val="nil"/>
            </w:tcBorders>
            <w:shd w:val="clear" w:color="auto" w:fill="FFFFFF"/>
            <w:vAlign w:val="center"/>
          </w:tcPr>
          <w:p w14:paraId="40622A8C">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541</w:t>
            </w:r>
          </w:p>
        </w:tc>
        <w:tc>
          <w:tcPr>
            <w:tcW w:w="0" w:type="auto"/>
            <w:tcBorders>
              <w:top w:val="nil"/>
              <w:left w:val="nil"/>
              <w:bottom w:val="nil"/>
              <w:right w:val="nil"/>
            </w:tcBorders>
            <w:shd w:val="clear" w:color="auto" w:fill="FFFFFF"/>
            <w:vAlign w:val="center"/>
          </w:tcPr>
          <w:p w14:paraId="0FF71CD7">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541.49</w:t>
            </w:r>
          </w:p>
        </w:tc>
        <w:tc>
          <w:tcPr>
            <w:tcW w:w="0" w:type="auto"/>
            <w:tcBorders>
              <w:top w:val="nil"/>
              <w:left w:val="nil"/>
              <w:bottom w:val="nil"/>
              <w:right w:val="nil"/>
            </w:tcBorders>
            <w:shd w:val="clear" w:color="auto" w:fill="FFFFFF"/>
            <w:vAlign w:val="center"/>
          </w:tcPr>
          <w:p w14:paraId="54599344">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0.09%</w:t>
            </w:r>
          </w:p>
        </w:tc>
        <w:tc>
          <w:tcPr>
            <w:tcW w:w="0" w:type="auto"/>
            <w:tcBorders>
              <w:top w:val="nil"/>
              <w:left w:val="nil"/>
              <w:bottom w:val="nil"/>
              <w:right w:val="nil"/>
            </w:tcBorders>
            <w:shd w:val="clear" w:color="auto" w:fill="FFFFFF"/>
            <w:vAlign w:val="center"/>
          </w:tcPr>
          <w:p w14:paraId="53E319AA">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2C8CF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76F7990F">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Immediate</w:t>
            </w:r>
          </w:p>
        </w:tc>
        <w:tc>
          <w:tcPr>
            <w:tcW w:w="0" w:type="auto"/>
            <w:tcBorders>
              <w:top w:val="nil"/>
              <w:left w:val="nil"/>
              <w:bottom w:val="nil"/>
              <w:right w:val="nil"/>
            </w:tcBorders>
            <w:shd w:val="clear" w:color="auto" w:fill="FFFFFF"/>
            <w:vAlign w:val="center"/>
          </w:tcPr>
          <w:p w14:paraId="2AE889CB">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Average</w:t>
            </w:r>
          </w:p>
        </w:tc>
        <w:tc>
          <w:tcPr>
            <w:tcW w:w="0" w:type="auto"/>
            <w:tcBorders>
              <w:top w:val="nil"/>
              <w:left w:val="nil"/>
              <w:bottom w:val="nil"/>
              <w:right w:val="nil"/>
            </w:tcBorders>
            <w:shd w:val="clear" w:color="auto" w:fill="FFFFFF"/>
            <w:vAlign w:val="center"/>
          </w:tcPr>
          <w:p w14:paraId="239FF30D">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SD MSE</w:t>
            </w:r>
          </w:p>
        </w:tc>
        <w:tc>
          <w:tcPr>
            <w:tcW w:w="0" w:type="auto"/>
            <w:tcBorders>
              <w:top w:val="nil"/>
              <w:left w:val="nil"/>
              <w:bottom w:val="nil"/>
              <w:right w:val="nil"/>
            </w:tcBorders>
            <w:shd w:val="clear" w:color="auto" w:fill="FFFFFF"/>
            <w:vAlign w:val="center"/>
          </w:tcPr>
          <w:p w14:paraId="44303CB0">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313</w:t>
            </w:r>
          </w:p>
        </w:tc>
        <w:tc>
          <w:tcPr>
            <w:tcW w:w="0" w:type="auto"/>
            <w:tcBorders>
              <w:top w:val="nil"/>
              <w:left w:val="nil"/>
              <w:bottom w:val="nil"/>
              <w:right w:val="nil"/>
            </w:tcBorders>
            <w:shd w:val="clear" w:color="auto" w:fill="FFFFFF"/>
            <w:vAlign w:val="center"/>
          </w:tcPr>
          <w:p w14:paraId="09B18273">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313.41</w:t>
            </w:r>
          </w:p>
        </w:tc>
        <w:tc>
          <w:tcPr>
            <w:tcW w:w="0" w:type="auto"/>
            <w:tcBorders>
              <w:top w:val="nil"/>
              <w:left w:val="nil"/>
              <w:bottom w:val="nil"/>
              <w:right w:val="nil"/>
            </w:tcBorders>
            <w:shd w:val="clear" w:color="auto" w:fill="FFFFFF"/>
            <w:vAlign w:val="center"/>
          </w:tcPr>
          <w:p w14:paraId="3104DB94">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0.13%</w:t>
            </w:r>
          </w:p>
        </w:tc>
        <w:tc>
          <w:tcPr>
            <w:tcW w:w="0" w:type="auto"/>
            <w:tcBorders>
              <w:top w:val="nil"/>
              <w:left w:val="nil"/>
              <w:bottom w:val="nil"/>
              <w:right w:val="nil"/>
            </w:tcBorders>
            <w:shd w:val="clear" w:color="auto" w:fill="FFFFFF"/>
            <w:vAlign w:val="center"/>
          </w:tcPr>
          <w:p w14:paraId="1E594046">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20306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400AFD2B">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Immediate</w:t>
            </w:r>
          </w:p>
        </w:tc>
        <w:tc>
          <w:tcPr>
            <w:tcW w:w="0" w:type="auto"/>
            <w:tcBorders>
              <w:top w:val="nil"/>
              <w:left w:val="nil"/>
              <w:bottom w:val="nil"/>
              <w:right w:val="nil"/>
            </w:tcBorders>
            <w:shd w:val="clear" w:color="auto" w:fill="FFFFFF"/>
            <w:vAlign w:val="center"/>
          </w:tcPr>
          <w:p w14:paraId="4D89EB30">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2</w:t>
            </w:r>
          </w:p>
        </w:tc>
        <w:tc>
          <w:tcPr>
            <w:tcW w:w="0" w:type="auto"/>
            <w:tcBorders>
              <w:top w:val="nil"/>
              <w:left w:val="nil"/>
              <w:bottom w:val="nil"/>
              <w:right w:val="nil"/>
            </w:tcBorders>
            <w:shd w:val="clear" w:color="auto" w:fill="FFFFFF"/>
            <w:vAlign w:val="center"/>
          </w:tcPr>
          <w:p w14:paraId="510BCA98">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N</w:t>
            </w:r>
          </w:p>
        </w:tc>
        <w:tc>
          <w:tcPr>
            <w:tcW w:w="0" w:type="auto"/>
            <w:tcBorders>
              <w:top w:val="nil"/>
              <w:left w:val="nil"/>
              <w:bottom w:val="nil"/>
              <w:right w:val="nil"/>
            </w:tcBorders>
            <w:shd w:val="clear" w:color="auto" w:fill="FFFFFF"/>
            <w:vAlign w:val="center"/>
          </w:tcPr>
          <w:p w14:paraId="01E0DBAE">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471</w:t>
            </w:r>
          </w:p>
        </w:tc>
        <w:tc>
          <w:tcPr>
            <w:tcW w:w="0" w:type="auto"/>
            <w:tcBorders>
              <w:top w:val="nil"/>
              <w:left w:val="nil"/>
              <w:bottom w:val="nil"/>
              <w:right w:val="nil"/>
            </w:tcBorders>
            <w:shd w:val="clear" w:color="auto" w:fill="FFFFFF"/>
            <w:vAlign w:val="center"/>
          </w:tcPr>
          <w:p w14:paraId="53754DE4">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471</w:t>
            </w:r>
          </w:p>
        </w:tc>
        <w:tc>
          <w:tcPr>
            <w:tcW w:w="0" w:type="auto"/>
            <w:tcBorders>
              <w:top w:val="nil"/>
              <w:left w:val="nil"/>
              <w:bottom w:val="nil"/>
              <w:right w:val="nil"/>
            </w:tcBorders>
            <w:shd w:val="clear" w:color="auto" w:fill="FFFFFF"/>
            <w:vAlign w:val="center"/>
          </w:tcPr>
          <w:p w14:paraId="77F6D1D7">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w:t>
            </w:r>
          </w:p>
        </w:tc>
        <w:tc>
          <w:tcPr>
            <w:tcW w:w="0" w:type="auto"/>
            <w:tcBorders>
              <w:top w:val="nil"/>
              <w:left w:val="nil"/>
              <w:bottom w:val="nil"/>
              <w:right w:val="nil"/>
            </w:tcBorders>
            <w:shd w:val="clear" w:color="auto" w:fill="FFFFFF"/>
            <w:vAlign w:val="center"/>
          </w:tcPr>
          <w:p w14:paraId="56AF7134">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完全一致</w:t>
            </w:r>
          </w:p>
        </w:tc>
      </w:tr>
      <w:tr w14:paraId="40018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664D4ABC">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Immediate</w:t>
            </w:r>
          </w:p>
        </w:tc>
        <w:tc>
          <w:tcPr>
            <w:tcW w:w="0" w:type="auto"/>
            <w:tcBorders>
              <w:top w:val="nil"/>
              <w:left w:val="nil"/>
              <w:bottom w:val="nil"/>
              <w:right w:val="nil"/>
            </w:tcBorders>
            <w:shd w:val="clear" w:color="auto" w:fill="FFFFFF"/>
            <w:vAlign w:val="center"/>
          </w:tcPr>
          <w:p w14:paraId="201A8438">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2</w:t>
            </w:r>
          </w:p>
        </w:tc>
        <w:tc>
          <w:tcPr>
            <w:tcW w:w="0" w:type="auto"/>
            <w:tcBorders>
              <w:top w:val="nil"/>
              <w:left w:val="nil"/>
              <w:bottom w:val="nil"/>
              <w:right w:val="nil"/>
            </w:tcBorders>
            <w:shd w:val="clear" w:color="auto" w:fill="FFFFFF"/>
            <w:vAlign w:val="center"/>
          </w:tcPr>
          <w:p w14:paraId="3637E1A7">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Mean MSE</w:t>
            </w:r>
          </w:p>
        </w:tc>
        <w:tc>
          <w:tcPr>
            <w:tcW w:w="0" w:type="auto"/>
            <w:tcBorders>
              <w:top w:val="nil"/>
              <w:left w:val="nil"/>
              <w:bottom w:val="nil"/>
              <w:right w:val="nil"/>
            </w:tcBorders>
            <w:shd w:val="clear" w:color="auto" w:fill="FFFFFF"/>
            <w:vAlign w:val="center"/>
          </w:tcPr>
          <w:p w14:paraId="3A14DECF">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615</w:t>
            </w:r>
          </w:p>
        </w:tc>
        <w:tc>
          <w:tcPr>
            <w:tcW w:w="0" w:type="auto"/>
            <w:tcBorders>
              <w:top w:val="nil"/>
              <w:left w:val="nil"/>
              <w:bottom w:val="nil"/>
              <w:right w:val="nil"/>
            </w:tcBorders>
            <w:shd w:val="clear" w:color="auto" w:fill="FFFFFF"/>
            <w:vAlign w:val="center"/>
          </w:tcPr>
          <w:p w14:paraId="76F46CB0">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614.92</w:t>
            </w:r>
          </w:p>
        </w:tc>
        <w:tc>
          <w:tcPr>
            <w:tcW w:w="0" w:type="auto"/>
            <w:tcBorders>
              <w:top w:val="nil"/>
              <w:left w:val="nil"/>
              <w:bottom w:val="nil"/>
              <w:right w:val="nil"/>
            </w:tcBorders>
            <w:shd w:val="clear" w:color="auto" w:fill="FFFFFF"/>
            <w:vAlign w:val="center"/>
          </w:tcPr>
          <w:p w14:paraId="0820755B">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0.01%</w:t>
            </w:r>
          </w:p>
        </w:tc>
        <w:tc>
          <w:tcPr>
            <w:tcW w:w="0" w:type="auto"/>
            <w:tcBorders>
              <w:top w:val="nil"/>
              <w:left w:val="nil"/>
              <w:bottom w:val="nil"/>
              <w:right w:val="nil"/>
            </w:tcBorders>
            <w:shd w:val="clear" w:color="auto" w:fill="FFFFFF"/>
            <w:vAlign w:val="center"/>
          </w:tcPr>
          <w:p w14:paraId="4BE6A28E">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47427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47F1C12D">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Immediate</w:t>
            </w:r>
          </w:p>
        </w:tc>
        <w:tc>
          <w:tcPr>
            <w:tcW w:w="0" w:type="auto"/>
            <w:tcBorders>
              <w:top w:val="nil"/>
              <w:left w:val="nil"/>
              <w:bottom w:val="nil"/>
              <w:right w:val="nil"/>
            </w:tcBorders>
            <w:shd w:val="clear" w:color="auto" w:fill="FFFFFF"/>
            <w:vAlign w:val="center"/>
          </w:tcPr>
          <w:p w14:paraId="65C61003">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2</w:t>
            </w:r>
          </w:p>
        </w:tc>
        <w:tc>
          <w:tcPr>
            <w:tcW w:w="0" w:type="auto"/>
            <w:tcBorders>
              <w:top w:val="nil"/>
              <w:left w:val="nil"/>
              <w:bottom w:val="nil"/>
              <w:right w:val="nil"/>
            </w:tcBorders>
            <w:shd w:val="clear" w:color="auto" w:fill="FFFFFF"/>
            <w:vAlign w:val="center"/>
          </w:tcPr>
          <w:p w14:paraId="54D4B44A">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SD MSE</w:t>
            </w:r>
          </w:p>
        </w:tc>
        <w:tc>
          <w:tcPr>
            <w:tcW w:w="0" w:type="auto"/>
            <w:tcBorders>
              <w:top w:val="nil"/>
              <w:left w:val="nil"/>
              <w:bottom w:val="nil"/>
              <w:right w:val="nil"/>
            </w:tcBorders>
            <w:shd w:val="clear" w:color="auto" w:fill="FFFFFF"/>
            <w:vAlign w:val="center"/>
          </w:tcPr>
          <w:p w14:paraId="08BA2524">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351</w:t>
            </w:r>
          </w:p>
        </w:tc>
        <w:tc>
          <w:tcPr>
            <w:tcW w:w="0" w:type="auto"/>
            <w:tcBorders>
              <w:top w:val="nil"/>
              <w:left w:val="nil"/>
              <w:bottom w:val="nil"/>
              <w:right w:val="nil"/>
            </w:tcBorders>
            <w:shd w:val="clear" w:color="auto" w:fill="FFFFFF"/>
            <w:vAlign w:val="center"/>
          </w:tcPr>
          <w:p w14:paraId="2979FF57">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350.58</w:t>
            </w:r>
          </w:p>
        </w:tc>
        <w:tc>
          <w:tcPr>
            <w:tcW w:w="0" w:type="auto"/>
            <w:tcBorders>
              <w:top w:val="nil"/>
              <w:left w:val="nil"/>
              <w:bottom w:val="nil"/>
              <w:right w:val="nil"/>
            </w:tcBorders>
            <w:shd w:val="clear" w:color="auto" w:fill="FFFFFF"/>
            <w:vAlign w:val="center"/>
          </w:tcPr>
          <w:p w14:paraId="7617034F">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0.12%</w:t>
            </w:r>
          </w:p>
        </w:tc>
        <w:tc>
          <w:tcPr>
            <w:tcW w:w="0" w:type="auto"/>
            <w:tcBorders>
              <w:top w:val="nil"/>
              <w:left w:val="nil"/>
              <w:bottom w:val="nil"/>
              <w:right w:val="nil"/>
            </w:tcBorders>
            <w:shd w:val="clear" w:color="auto" w:fill="FFFFFF"/>
            <w:vAlign w:val="center"/>
          </w:tcPr>
          <w:p w14:paraId="4DE5DEE4">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0DD54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451A5CE2">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Delayed</w:t>
            </w:r>
          </w:p>
        </w:tc>
        <w:tc>
          <w:tcPr>
            <w:tcW w:w="0" w:type="auto"/>
            <w:tcBorders>
              <w:top w:val="nil"/>
              <w:left w:val="nil"/>
              <w:bottom w:val="nil"/>
              <w:right w:val="nil"/>
            </w:tcBorders>
            <w:shd w:val="clear" w:color="auto" w:fill="FFFFFF"/>
            <w:vAlign w:val="center"/>
          </w:tcPr>
          <w:p w14:paraId="4958597A">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1</w:t>
            </w:r>
          </w:p>
        </w:tc>
        <w:tc>
          <w:tcPr>
            <w:tcW w:w="0" w:type="auto"/>
            <w:tcBorders>
              <w:top w:val="nil"/>
              <w:left w:val="nil"/>
              <w:bottom w:val="nil"/>
              <w:right w:val="nil"/>
            </w:tcBorders>
            <w:shd w:val="clear" w:color="auto" w:fill="FFFFFF"/>
            <w:vAlign w:val="center"/>
          </w:tcPr>
          <w:p w14:paraId="48E6E11A">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N</w:t>
            </w:r>
          </w:p>
        </w:tc>
        <w:tc>
          <w:tcPr>
            <w:tcW w:w="0" w:type="auto"/>
            <w:tcBorders>
              <w:top w:val="nil"/>
              <w:left w:val="nil"/>
              <w:bottom w:val="nil"/>
              <w:right w:val="nil"/>
            </w:tcBorders>
            <w:shd w:val="clear" w:color="auto" w:fill="FFFFFF"/>
            <w:vAlign w:val="center"/>
          </w:tcPr>
          <w:p w14:paraId="1008564D">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140</w:t>
            </w:r>
          </w:p>
        </w:tc>
        <w:tc>
          <w:tcPr>
            <w:tcW w:w="0" w:type="auto"/>
            <w:tcBorders>
              <w:top w:val="nil"/>
              <w:left w:val="nil"/>
              <w:bottom w:val="nil"/>
              <w:right w:val="nil"/>
            </w:tcBorders>
            <w:shd w:val="clear" w:color="auto" w:fill="FFFFFF"/>
            <w:vAlign w:val="center"/>
          </w:tcPr>
          <w:p w14:paraId="65250390">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140</w:t>
            </w:r>
          </w:p>
        </w:tc>
        <w:tc>
          <w:tcPr>
            <w:tcW w:w="0" w:type="auto"/>
            <w:tcBorders>
              <w:top w:val="nil"/>
              <w:left w:val="nil"/>
              <w:bottom w:val="nil"/>
              <w:right w:val="nil"/>
            </w:tcBorders>
            <w:shd w:val="clear" w:color="auto" w:fill="FFFFFF"/>
            <w:vAlign w:val="center"/>
          </w:tcPr>
          <w:p w14:paraId="4C51A563">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w:t>
            </w:r>
          </w:p>
        </w:tc>
        <w:tc>
          <w:tcPr>
            <w:tcW w:w="0" w:type="auto"/>
            <w:tcBorders>
              <w:top w:val="nil"/>
              <w:left w:val="nil"/>
              <w:bottom w:val="nil"/>
              <w:right w:val="nil"/>
            </w:tcBorders>
            <w:shd w:val="clear" w:color="auto" w:fill="FFFFFF"/>
            <w:vAlign w:val="center"/>
          </w:tcPr>
          <w:p w14:paraId="268DE7E5">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完全一致</w:t>
            </w:r>
          </w:p>
        </w:tc>
      </w:tr>
      <w:tr w14:paraId="020F6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4E60D7F8">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Delayed</w:t>
            </w:r>
          </w:p>
        </w:tc>
        <w:tc>
          <w:tcPr>
            <w:tcW w:w="0" w:type="auto"/>
            <w:tcBorders>
              <w:top w:val="nil"/>
              <w:left w:val="nil"/>
              <w:bottom w:val="nil"/>
              <w:right w:val="nil"/>
            </w:tcBorders>
            <w:shd w:val="clear" w:color="auto" w:fill="FFFFFF"/>
            <w:vAlign w:val="center"/>
          </w:tcPr>
          <w:p w14:paraId="148672AD">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1</w:t>
            </w:r>
          </w:p>
        </w:tc>
        <w:tc>
          <w:tcPr>
            <w:tcW w:w="0" w:type="auto"/>
            <w:tcBorders>
              <w:top w:val="nil"/>
              <w:left w:val="nil"/>
              <w:bottom w:val="nil"/>
              <w:right w:val="nil"/>
            </w:tcBorders>
            <w:shd w:val="clear" w:color="auto" w:fill="FFFFFF"/>
            <w:vAlign w:val="center"/>
          </w:tcPr>
          <w:p w14:paraId="4A49F5AE">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Mean MSE</w:t>
            </w:r>
          </w:p>
        </w:tc>
        <w:tc>
          <w:tcPr>
            <w:tcW w:w="0" w:type="auto"/>
            <w:tcBorders>
              <w:top w:val="nil"/>
              <w:left w:val="nil"/>
              <w:bottom w:val="nil"/>
              <w:right w:val="nil"/>
            </w:tcBorders>
            <w:shd w:val="clear" w:color="auto" w:fill="FFFFFF"/>
            <w:vAlign w:val="center"/>
          </w:tcPr>
          <w:p w14:paraId="1C6E1091">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517</w:t>
            </w:r>
          </w:p>
        </w:tc>
        <w:tc>
          <w:tcPr>
            <w:tcW w:w="0" w:type="auto"/>
            <w:tcBorders>
              <w:top w:val="nil"/>
              <w:left w:val="nil"/>
              <w:bottom w:val="nil"/>
              <w:right w:val="nil"/>
            </w:tcBorders>
            <w:shd w:val="clear" w:color="auto" w:fill="FFFFFF"/>
            <w:vAlign w:val="center"/>
          </w:tcPr>
          <w:p w14:paraId="0742A644">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517.43</w:t>
            </w:r>
          </w:p>
        </w:tc>
        <w:tc>
          <w:tcPr>
            <w:tcW w:w="0" w:type="auto"/>
            <w:tcBorders>
              <w:top w:val="nil"/>
              <w:left w:val="nil"/>
              <w:bottom w:val="nil"/>
              <w:right w:val="nil"/>
            </w:tcBorders>
            <w:shd w:val="clear" w:color="auto" w:fill="FFFFFF"/>
            <w:vAlign w:val="center"/>
          </w:tcPr>
          <w:p w14:paraId="791FE491">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0.08%</w:t>
            </w:r>
          </w:p>
        </w:tc>
        <w:tc>
          <w:tcPr>
            <w:tcW w:w="0" w:type="auto"/>
            <w:tcBorders>
              <w:top w:val="nil"/>
              <w:left w:val="nil"/>
              <w:bottom w:val="nil"/>
              <w:right w:val="nil"/>
            </w:tcBorders>
            <w:shd w:val="clear" w:color="auto" w:fill="FFFFFF"/>
            <w:vAlign w:val="center"/>
          </w:tcPr>
          <w:p w14:paraId="0472EC4D">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1F6DA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5218E9E4">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Delayed</w:t>
            </w:r>
          </w:p>
        </w:tc>
        <w:tc>
          <w:tcPr>
            <w:tcW w:w="0" w:type="auto"/>
            <w:tcBorders>
              <w:top w:val="nil"/>
              <w:left w:val="nil"/>
              <w:bottom w:val="nil"/>
              <w:right w:val="nil"/>
            </w:tcBorders>
            <w:shd w:val="clear" w:color="auto" w:fill="FFFFFF"/>
            <w:vAlign w:val="center"/>
          </w:tcPr>
          <w:p w14:paraId="069B8B38">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1</w:t>
            </w:r>
          </w:p>
        </w:tc>
        <w:tc>
          <w:tcPr>
            <w:tcW w:w="0" w:type="auto"/>
            <w:tcBorders>
              <w:top w:val="nil"/>
              <w:left w:val="nil"/>
              <w:bottom w:val="nil"/>
              <w:right w:val="nil"/>
            </w:tcBorders>
            <w:shd w:val="clear" w:color="auto" w:fill="FFFFFF"/>
            <w:vAlign w:val="center"/>
          </w:tcPr>
          <w:p w14:paraId="09021F03">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SD MSE</w:t>
            </w:r>
          </w:p>
        </w:tc>
        <w:tc>
          <w:tcPr>
            <w:tcW w:w="0" w:type="auto"/>
            <w:tcBorders>
              <w:top w:val="nil"/>
              <w:left w:val="nil"/>
              <w:bottom w:val="nil"/>
              <w:right w:val="nil"/>
            </w:tcBorders>
            <w:shd w:val="clear" w:color="auto" w:fill="FFFFFF"/>
            <w:vAlign w:val="center"/>
          </w:tcPr>
          <w:p w14:paraId="20F1261F">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288</w:t>
            </w:r>
          </w:p>
        </w:tc>
        <w:tc>
          <w:tcPr>
            <w:tcW w:w="0" w:type="auto"/>
            <w:tcBorders>
              <w:top w:val="nil"/>
              <w:left w:val="nil"/>
              <w:bottom w:val="nil"/>
              <w:right w:val="nil"/>
            </w:tcBorders>
            <w:shd w:val="clear" w:color="auto" w:fill="FFFFFF"/>
            <w:vAlign w:val="center"/>
          </w:tcPr>
          <w:p w14:paraId="374682B8">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288.07</w:t>
            </w:r>
          </w:p>
        </w:tc>
        <w:tc>
          <w:tcPr>
            <w:tcW w:w="0" w:type="auto"/>
            <w:tcBorders>
              <w:top w:val="nil"/>
              <w:left w:val="nil"/>
              <w:bottom w:val="nil"/>
              <w:right w:val="nil"/>
            </w:tcBorders>
            <w:shd w:val="clear" w:color="auto" w:fill="FFFFFF"/>
            <w:vAlign w:val="center"/>
          </w:tcPr>
          <w:p w14:paraId="6A6D0B0B">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0.02%</w:t>
            </w:r>
          </w:p>
        </w:tc>
        <w:tc>
          <w:tcPr>
            <w:tcW w:w="0" w:type="auto"/>
            <w:tcBorders>
              <w:top w:val="nil"/>
              <w:left w:val="nil"/>
              <w:bottom w:val="nil"/>
              <w:right w:val="nil"/>
            </w:tcBorders>
            <w:shd w:val="clear" w:color="auto" w:fill="FFFFFF"/>
            <w:vAlign w:val="center"/>
          </w:tcPr>
          <w:p w14:paraId="24F0B37B">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6EE62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6D19668C">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Delayed</w:t>
            </w:r>
          </w:p>
        </w:tc>
        <w:tc>
          <w:tcPr>
            <w:tcW w:w="0" w:type="auto"/>
            <w:tcBorders>
              <w:top w:val="nil"/>
              <w:left w:val="nil"/>
              <w:bottom w:val="nil"/>
              <w:right w:val="nil"/>
            </w:tcBorders>
            <w:shd w:val="clear" w:color="auto" w:fill="FFFFFF"/>
            <w:vAlign w:val="center"/>
          </w:tcPr>
          <w:p w14:paraId="3F3EA08D">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Average</w:t>
            </w:r>
          </w:p>
        </w:tc>
        <w:tc>
          <w:tcPr>
            <w:tcW w:w="0" w:type="auto"/>
            <w:tcBorders>
              <w:top w:val="nil"/>
              <w:left w:val="nil"/>
              <w:bottom w:val="nil"/>
              <w:right w:val="nil"/>
            </w:tcBorders>
            <w:shd w:val="clear" w:color="auto" w:fill="FFFFFF"/>
            <w:vAlign w:val="center"/>
          </w:tcPr>
          <w:p w14:paraId="0F6CB16A">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Mean MSE</w:t>
            </w:r>
          </w:p>
        </w:tc>
        <w:tc>
          <w:tcPr>
            <w:tcW w:w="0" w:type="auto"/>
            <w:tcBorders>
              <w:top w:val="nil"/>
              <w:left w:val="nil"/>
              <w:bottom w:val="nil"/>
              <w:right w:val="nil"/>
            </w:tcBorders>
            <w:shd w:val="clear" w:color="auto" w:fill="FFFFFF"/>
            <w:vAlign w:val="center"/>
          </w:tcPr>
          <w:p w14:paraId="460BE4C9">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467</w:t>
            </w:r>
          </w:p>
        </w:tc>
        <w:tc>
          <w:tcPr>
            <w:tcW w:w="0" w:type="auto"/>
            <w:tcBorders>
              <w:top w:val="nil"/>
              <w:left w:val="nil"/>
              <w:bottom w:val="nil"/>
              <w:right w:val="nil"/>
            </w:tcBorders>
            <w:shd w:val="clear" w:color="auto" w:fill="FFFFFF"/>
            <w:vAlign w:val="center"/>
          </w:tcPr>
          <w:p w14:paraId="3535E779">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467.46</w:t>
            </w:r>
          </w:p>
        </w:tc>
        <w:tc>
          <w:tcPr>
            <w:tcW w:w="0" w:type="auto"/>
            <w:tcBorders>
              <w:top w:val="nil"/>
              <w:left w:val="nil"/>
              <w:bottom w:val="nil"/>
              <w:right w:val="nil"/>
            </w:tcBorders>
            <w:shd w:val="clear" w:color="auto" w:fill="FFFFFF"/>
            <w:vAlign w:val="center"/>
          </w:tcPr>
          <w:p w14:paraId="39D48E52">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0.10%</w:t>
            </w:r>
          </w:p>
        </w:tc>
        <w:tc>
          <w:tcPr>
            <w:tcW w:w="0" w:type="auto"/>
            <w:tcBorders>
              <w:top w:val="nil"/>
              <w:left w:val="nil"/>
              <w:bottom w:val="nil"/>
              <w:right w:val="nil"/>
            </w:tcBorders>
            <w:shd w:val="clear" w:color="auto" w:fill="FFFFFF"/>
            <w:vAlign w:val="center"/>
          </w:tcPr>
          <w:p w14:paraId="5842EDF9">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39D07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63386866">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Delayed</w:t>
            </w:r>
          </w:p>
        </w:tc>
        <w:tc>
          <w:tcPr>
            <w:tcW w:w="0" w:type="auto"/>
            <w:tcBorders>
              <w:top w:val="nil"/>
              <w:left w:val="nil"/>
              <w:bottom w:val="nil"/>
              <w:right w:val="nil"/>
            </w:tcBorders>
            <w:shd w:val="clear" w:color="auto" w:fill="FFFFFF"/>
            <w:vAlign w:val="center"/>
          </w:tcPr>
          <w:p w14:paraId="117BD0F0">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Average</w:t>
            </w:r>
          </w:p>
        </w:tc>
        <w:tc>
          <w:tcPr>
            <w:tcW w:w="0" w:type="auto"/>
            <w:tcBorders>
              <w:top w:val="nil"/>
              <w:left w:val="nil"/>
              <w:bottom w:val="nil"/>
              <w:right w:val="nil"/>
            </w:tcBorders>
            <w:shd w:val="clear" w:color="auto" w:fill="FFFFFF"/>
            <w:vAlign w:val="center"/>
          </w:tcPr>
          <w:p w14:paraId="2F94963B">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SD MSE</w:t>
            </w:r>
          </w:p>
        </w:tc>
        <w:tc>
          <w:tcPr>
            <w:tcW w:w="0" w:type="auto"/>
            <w:tcBorders>
              <w:top w:val="nil"/>
              <w:left w:val="nil"/>
              <w:bottom w:val="nil"/>
              <w:right w:val="nil"/>
            </w:tcBorders>
            <w:shd w:val="clear" w:color="auto" w:fill="FFFFFF"/>
            <w:vAlign w:val="center"/>
          </w:tcPr>
          <w:p w14:paraId="663FDA47">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260</w:t>
            </w:r>
          </w:p>
        </w:tc>
        <w:tc>
          <w:tcPr>
            <w:tcW w:w="0" w:type="auto"/>
            <w:tcBorders>
              <w:top w:val="nil"/>
              <w:left w:val="nil"/>
              <w:bottom w:val="nil"/>
              <w:right w:val="nil"/>
            </w:tcBorders>
            <w:shd w:val="clear" w:color="auto" w:fill="FFFFFF"/>
            <w:vAlign w:val="center"/>
          </w:tcPr>
          <w:p w14:paraId="2A40A200">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260.29</w:t>
            </w:r>
          </w:p>
        </w:tc>
        <w:tc>
          <w:tcPr>
            <w:tcW w:w="0" w:type="auto"/>
            <w:tcBorders>
              <w:top w:val="nil"/>
              <w:left w:val="nil"/>
              <w:bottom w:val="nil"/>
              <w:right w:val="nil"/>
            </w:tcBorders>
            <w:shd w:val="clear" w:color="auto" w:fill="FFFFFF"/>
            <w:vAlign w:val="center"/>
          </w:tcPr>
          <w:p w14:paraId="4CB2E83E">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0.11%</w:t>
            </w:r>
          </w:p>
        </w:tc>
        <w:tc>
          <w:tcPr>
            <w:tcW w:w="0" w:type="auto"/>
            <w:tcBorders>
              <w:top w:val="nil"/>
              <w:left w:val="nil"/>
              <w:bottom w:val="nil"/>
              <w:right w:val="nil"/>
            </w:tcBorders>
            <w:shd w:val="clear" w:color="auto" w:fill="FFFFFF"/>
            <w:vAlign w:val="center"/>
          </w:tcPr>
          <w:p w14:paraId="44698373">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1F602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4C3A4D59">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Delayed</w:t>
            </w:r>
          </w:p>
        </w:tc>
        <w:tc>
          <w:tcPr>
            <w:tcW w:w="0" w:type="auto"/>
            <w:tcBorders>
              <w:top w:val="nil"/>
              <w:left w:val="nil"/>
              <w:bottom w:val="nil"/>
              <w:right w:val="nil"/>
            </w:tcBorders>
            <w:shd w:val="clear" w:color="auto" w:fill="FFFFFF"/>
            <w:vAlign w:val="center"/>
          </w:tcPr>
          <w:p w14:paraId="563A57AA">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2</w:t>
            </w:r>
          </w:p>
        </w:tc>
        <w:tc>
          <w:tcPr>
            <w:tcW w:w="0" w:type="auto"/>
            <w:tcBorders>
              <w:top w:val="nil"/>
              <w:left w:val="nil"/>
              <w:bottom w:val="nil"/>
              <w:right w:val="nil"/>
            </w:tcBorders>
            <w:shd w:val="clear" w:color="auto" w:fill="FFFFFF"/>
            <w:vAlign w:val="center"/>
          </w:tcPr>
          <w:p w14:paraId="606F36E3">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N</w:t>
            </w:r>
          </w:p>
        </w:tc>
        <w:tc>
          <w:tcPr>
            <w:tcW w:w="0" w:type="auto"/>
            <w:tcBorders>
              <w:top w:val="nil"/>
              <w:left w:val="nil"/>
              <w:bottom w:val="nil"/>
              <w:right w:val="nil"/>
            </w:tcBorders>
            <w:shd w:val="clear" w:color="auto" w:fill="FFFFFF"/>
            <w:vAlign w:val="center"/>
          </w:tcPr>
          <w:p w14:paraId="55F6DD2D">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140</w:t>
            </w:r>
          </w:p>
        </w:tc>
        <w:tc>
          <w:tcPr>
            <w:tcW w:w="0" w:type="auto"/>
            <w:tcBorders>
              <w:top w:val="nil"/>
              <w:left w:val="nil"/>
              <w:bottom w:val="nil"/>
              <w:right w:val="nil"/>
            </w:tcBorders>
            <w:shd w:val="clear" w:color="auto" w:fill="FFFFFF"/>
            <w:vAlign w:val="center"/>
          </w:tcPr>
          <w:p w14:paraId="58BAA4A8">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140</w:t>
            </w:r>
          </w:p>
        </w:tc>
        <w:tc>
          <w:tcPr>
            <w:tcW w:w="0" w:type="auto"/>
            <w:tcBorders>
              <w:top w:val="nil"/>
              <w:left w:val="nil"/>
              <w:bottom w:val="nil"/>
              <w:right w:val="nil"/>
            </w:tcBorders>
            <w:shd w:val="clear" w:color="auto" w:fill="FFFFFF"/>
            <w:vAlign w:val="center"/>
          </w:tcPr>
          <w:p w14:paraId="5C480715">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w:t>
            </w:r>
          </w:p>
        </w:tc>
        <w:tc>
          <w:tcPr>
            <w:tcW w:w="0" w:type="auto"/>
            <w:tcBorders>
              <w:top w:val="nil"/>
              <w:left w:val="nil"/>
              <w:bottom w:val="nil"/>
              <w:right w:val="nil"/>
            </w:tcBorders>
            <w:shd w:val="clear" w:color="auto" w:fill="FFFFFF"/>
            <w:vAlign w:val="center"/>
          </w:tcPr>
          <w:p w14:paraId="46F006B0">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完全一致</w:t>
            </w:r>
          </w:p>
        </w:tc>
      </w:tr>
      <w:tr w14:paraId="3CCB1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FFFFF"/>
            <w:vAlign w:val="center"/>
          </w:tcPr>
          <w:p w14:paraId="2BB4BDC9">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Delayed</w:t>
            </w:r>
          </w:p>
        </w:tc>
        <w:tc>
          <w:tcPr>
            <w:tcW w:w="0" w:type="auto"/>
            <w:tcBorders>
              <w:top w:val="nil"/>
              <w:left w:val="nil"/>
              <w:bottom w:val="nil"/>
              <w:right w:val="nil"/>
            </w:tcBorders>
            <w:shd w:val="clear" w:color="auto" w:fill="FFFFFF"/>
            <w:vAlign w:val="center"/>
          </w:tcPr>
          <w:p w14:paraId="35309CEC">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2</w:t>
            </w:r>
          </w:p>
        </w:tc>
        <w:tc>
          <w:tcPr>
            <w:tcW w:w="0" w:type="auto"/>
            <w:tcBorders>
              <w:top w:val="nil"/>
              <w:left w:val="nil"/>
              <w:bottom w:val="nil"/>
              <w:right w:val="nil"/>
            </w:tcBorders>
            <w:shd w:val="clear" w:color="auto" w:fill="FFFFFF"/>
            <w:vAlign w:val="center"/>
          </w:tcPr>
          <w:p w14:paraId="7FD3DF45">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Mean MSE</w:t>
            </w:r>
          </w:p>
        </w:tc>
        <w:tc>
          <w:tcPr>
            <w:tcW w:w="0" w:type="auto"/>
            <w:tcBorders>
              <w:top w:val="nil"/>
              <w:left w:val="nil"/>
              <w:bottom w:val="nil"/>
              <w:right w:val="nil"/>
            </w:tcBorders>
            <w:shd w:val="clear" w:color="auto" w:fill="FFFFFF"/>
            <w:vAlign w:val="center"/>
          </w:tcPr>
          <w:p w14:paraId="6160A162">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589</w:t>
            </w:r>
          </w:p>
        </w:tc>
        <w:tc>
          <w:tcPr>
            <w:tcW w:w="0" w:type="auto"/>
            <w:tcBorders>
              <w:top w:val="nil"/>
              <w:left w:val="nil"/>
              <w:bottom w:val="nil"/>
              <w:right w:val="nil"/>
            </w:tcBorders>
            <w:shd w:val="clear" w:color="auto" w:fill="FFFFFF"/>
            <w:vAlign w:val="center"/>
          </w:tcPr>
          <w:p w14:paraId="1D8158A7">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588.89</w:t>
            </w:r>
          </w:p>
        </w:tc>
        <w:tc>
          <w:tcPr>
            <w:tcW w:w="0" w:type="auto"/>
            <w:tcBorders>
              <w:top w:val="nil"/>
              <w:left w:val="nil"/>
              <w:bottom w:val="nil"/>
              <w:right w:val="nil"/>
            </w:tcBorders>
            <w:shd w:val="clear" w:color="auto" w:fill="FFFFFF"/>
            <w:vAlign w:val="center"/>
          </w:tcPr>
          <w:p w14:paraId="3B988B32">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0.02%</w:t>
            </w:r>
          </w:p>
        </w:tc>
        <w:tc>
          <w:tcPr>
            <w:tcW w:w="0" w:type="auto"/>
            <w:tcBorders>
              <w:top w:val="nil"/>
              <w:left w:val="nil"/>
              <w:bottom w:val="nil"/>
              <w:right w:val="nil"/>
            </w:tcBorders>
            <w:shd w:val="clear" w:color="auto" w:fill="FFFFFF"/>
            <w:vAlign w:val="center"/>
          </w:tcPr>
          <w:p w14:paraId="7CE9B177">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r w14:paraId="580A6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000000" w:themeColor="dark1" w:sz="12" w:space="0"/>
              <w:right w:val="nil"/>
            </w:tcBorders>
            <w:shd w:val="clear" w:color="auto" w:fill="FFFFFF"/>
            <w:vAlign w:val="center"/>
          </w:tcPr>
          <w:p w14:paraId="075CCA7A">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Delayed</w:t>
            </w:r>
          </w:p>
        </w:tc>
        <w:tc>
          <w:tcPr>
            <w:tcW w:w="0" w:type="auto"/>
            <w:tcBorders>
              <w:top w:val="nil"/>
              <w:left w:val="nil"/>
              <w:bottom w:val="single" w:color="000000" w:themeColor="dark1" w:sz="12" w:space="0"/>
              <w:right w:val="nil"/>
            </w:tcBorders>
            <w:shd w:val="clear" w:color="auto" w:fill="FFFFFF"/>
            <w:vAlign w:val="center"/>
          </w:tcPr>
          <w:p w14:paraId="2002709D">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Guess 2</w:t>
            </w:r>
          </w:p>
        </w:tc>
        <w:tc>
          <w:tcPr>
            <w:tcW w:w="0" w:type="auto"/>
            <w:tcBorders>
              <w:top w:val="nil"/>
              <w:left w:val="nil"/>
              <w:bottom w:val="single" w:color="000000" w:themeColor="dark1" w:sz="12" w:space="0"/>
              <w:right w:val="nil"/>
            </w:tcBorders>
            <w:shd w:val="clear" w:color="auto" w:fill="FFFFFF"/>
            <w:vAlign w:val="center"/>
          </w:tcPr>
          <w:p w14:paraId="1ADD38CE">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SD MSE</w:t>
            </w:r>
          </w:p>
        </w:tc>
        <w:tc>
          <w:tcPr>
            <w:tcW w:w="0" w:type="auto"/>
            <w:tcBorders>
              <w:top w:val="nil"/>
              <w:left w:val="nil"/>
              <w:bottom w:val="single" w:color="000000" w:themeColor="dark1" w:sz="12" w:space="0"/>
              <w:right w:val="nil"/>
            </w:tcBorders>
            <w:shd w:val="clear" w:color="auto" w:fill="FFFFFF"/>
            <w:vAlign w:val="center"/>
          </w:tcPr>
          <w:p w14:paraId="58916819">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327</w:t>
            </w:r>
          </w:p>
        </w:tc>
        <w:tc>
          <w:tcPr>
            <w:tcW w:w="0" w:type="auto"/>
            <w:tcBorders>
              <w:top w:val="nil"/>
              <w:left w:val="nil"/>
              <w:bottom w:val="single" w:color="000000" w:themeColor="dark1" w:sz="12" w:space="0"/>
              <w:right w:val="nil"/>
            </w:tcBorders>
            <w:shd w:val="clear" w:color="auto" w:fill="FFFFFF"/>
            <w:vAlign w:val="center"/>
          </w:tcPr>
          <w:p w14:paraId="3AFA1C8B">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326.72</w:t>
            </w:r>
          </w:p>
        </w:tc>
        <w:tc>
          <w:tcPr>
            <w:tcW w:w="0" w:type="auto"/>
            <w:tcBorders>
              <w:top w:val="nil"/>
              <w:left w:val="nil"/>
              <w:bottom w:val="single" w:color="000000" w:themeColor="dark1" w:sz="12" w:space="0"/>
              <w:right w:val="nil"/>
            </w:tcBorders>
            <w:shd w:val="clear" w:color="auto" w:fill="FFFFFF"/>
            <w:vAlign w:val="center"/>
          </w:tcPr>
          <w:p w14:paraId="763A4409">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0.09%</w:t>
            </w:r>
          </w:p>
        </w:tc>
        <w:tc>
          <w:tcPr>
            <w:tcW w:w="0" w:type="auto"/>
            <w:tcBorders>
              <w:top w:val="nil"/>
              <w:left w:val="nil"/>
              <w:bottom w:val="single" w:color="000000" w:themeColor="dark1" w:sz="12" w:space="0"/>
              <w:right w:val="nil"/>
            </w:tcBorders>
            <w:shd w:val="clear" w:color="auto" w:fill="FFFFFF"/>
            <w:vAlign w:val="center"/>
          </w:tcPr>
          <w:p w14:paraId="1B1D905E">
            <w:pPr>
              <w:keepNext w:val="0"/>
              <w:keepLines w:val="0"/>
              <w:widowControl/>
              <w:suppressLineNumbers w:val="0"/>
              <w:jc w:val="center"/>
              <w:rPr>
                <w:rFonts w:hint="eastAsia" w:ascii="宋体" w:hAnsi="宋体" w:eastAsia="宋体" w:cs="宋体"/>
                <w:b w:val="0"/>
                <w:i w:val="0"/>
                <w:color w:val="08090C"/>
                <w:sz w:val="21"/>
                <w:szCs w:val="21"/>
              </w:rPr>
            </w:pPr>
            <w:r>
              <w:rPr>
                <w:rFonts w:hint="eastAsia" w:ascii="宋体" w:hAnsi="宋体" w:eastAsia="宋体" w:cs="宋体"/>
                <w:b w:val="0"/>
                <w:i w:val="0"/>
                <w:color w:val="08090C"/>
                <w:kern w:val="0"/>
                <w:sz w:val="21"/>
                <w:szCs w:val="21"/>
                <w:lang w:val="en-US" w:eastAsia="zh-CN" w:bidi="ar"/>
                <w14:ligatures w14:val="standardContextual"/>
              </w:rPr>
              <w:t>因舍入导致的偏差</w:t>
            </w:r>
          </w:p>
        </w:tc>
      </w:tr>
    </w:tbl>
    <w:p w14:paraId="2DAC059B">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center"/>
        <w:textAlignment w:val="auto"/>
        <w:rPr>
          <w:rFonts w:hint="eastAsia" w:ascii="Times New Roman" w:hAnsi="Times New Roman" w:eastAsia="黑体" w:cs="Times New Roman"/>
          <w:b/>
          <w:bCs/>
          <w:sz w:val="18"/>
          <w:szCs w:val="18"/>
          <w14:ligatures w14:val="none"/>
        </w:rPr>
      </w:pPr>
      <w:r>
        <w:rPr>
          <w:rFonts w:ascii="宋体" w:hAnsi="宋体" w:eastAsia="宋体" w:cs="宋体"/>
          <w:sz w:val="21"/>
          <w:szCs w:val="21"/>
        </w:rPr>
        <w:t>描述性统计结果显示，本研究复现得到的样本量与原文完全一致，Mean MSE 和 SD MSE 与原文报告结果仅存在极小差异。这些差异主要来自原文将数值四舍五入为整数，而本研究使用 R 输出的完整小数值进行计算。因此，描述性统计结果具有较高的计算可复现性。</w:t>
      </w:r>
    </w:p>
    <w:p w14:paraId="35DC7FF9">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 推断性统计</w:t>
      </w:r>
    </w:p>
    <w:p w14:paraId="51CFFE48">
      <w:pPr>
        <w:spacing w:line="300" w:lineRule="auto"/>
        <w:contextualSpacing/>
        <w:rPr>
          <w:rFonts w:hint="eastAsia" w:ascii="Times New Roman" w:hAnsi="Times New Roman" w:eastAsia="宋体" w:cs="Times New Roman"/>
          <w:szCs w:val="24"/>
          <w14:ligatures w14:val="none"/>
        </w:rPr>
      </w:pPr>
      <w:r>
        <w:rPr>
          <w:rFonts w:hint="eastAsia" w:ascii="Times New Roman" w:hAnsi="Times New Roman" w:eastAsia="宋体" w:cs="Times New Roman"/>
          <w:b/>
          <w:bCs/>
          <w:szCs w:val="24"/>
          <w14:ligatures w14:val="none"/>
        </w:rPr>
        <w:t>3.2.1 使用与原文献相同方法的推断性统计</w:t>
      </w:r>
    </w:p>
    <w:p w14:paraId="361CB2E5">
      <w:pPr>
        <w:spacing w:line="300" w:lineRule="auto"/>
        <w:jc w:val="center"/>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本研究继续使用与 Steegen 等人（2014）相同的分析思路，对四个核心比较进行配对 t 检验，并计算 Cohen’s dz 和 95% 置信区间。原文报告，在 immediate condition 中，Average MSE 显著低于 Guess 1 MSE 和 Guess 2 MSE；在 delayed condition 中，Average MSE 同样显著低于 Guess 1 MSE 和 Guess 2 MSE。</w:t>
      </w:r>
    </w:p>
    <w:p w14:paraId="3F3ECA89">
      <w:pPr>
        <w:spacing w:line="300" w:lineRule="auto"/>
        <w:jc w:val="center"/>
        <w:rPr>
          <w:rFonts w:ascii="Times New Roman" w:hAnsi="Times New Roman" w:eastAsia="黑体" w:cs="Times New Roman"/>
          <w:b/>
          <w:bCs/>
          <w:sz w:val="18"/>
          <w:szCs w:val="18"/>
          <w14:ligatures w14:val="none"/>
        </w:rPr>
      </w:pPr>
    </w:p>
    <w:p w14:paraId="6DE7FB60">
      <w:pPr>
        <w:spacing w:line="300" w:lineRule="auto"/>
        <w:jc w:val="center"/>
        <w:rPr>
          <w:rFonts w:ascii="Times New Roman" w:hAnsi="Times New Roman" w:eastAsia="黑体" w:cs="Times New Roman"/>
          <w:b/>
          <w:bCs/>
          <w:sz w:val="18"/>
          <w:szCs w:val="18"/>
          <w14:ligatures w14:val="none"/>
        </w:rPr>
      </w:pPr>
    </w:p>
    <w:p w14:paraId="14BC0357">
      <w:pPr>
        <w:spacing w:line="300" w:lineRule="auto"/>
        <w:jc w:val="center"/>
        <w:rPr>
          <w:rFonts w:hint="eastAsia"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2"/>
        <w:tblpPr w:leftFromText="180" w:rightFromText="180" w:vertAnchor="text" w:horzAnchor="page" w:tblpX="1796" w:tblpY="371"/>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0"/>
        <w:gridCol w:w="1080"/>
        <w:gridCol w:w="375"/>
        <w:gridCol w:w="2065"/>
        <w:gridCol w:w="2064"/>
        <w:gridCol w:w="795"/>
        <w:gridCol w:w="659"/>
        <w:gridCol w:w="338"/>
      </w:tblGrid>
      <w:tr w14:paraId="7AEDB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75" w:type="dxa"/>
            <w:tcBorders>
              <w:top w:val="single" w:color="000000" w:themeColor="dark1" w:sz="12" w:space="0"/>
              <w:left w:val="nil"/>
              <w:bottom w:val="single" w:color="000000" w:themeColor="dark1" w:sz="6" w:space="0"/>
              <w:right w:val="nil"/>
            </w:tcBorders>
            <w:shd w:val="clear" w:color="auto" w:fill="FFFFFF"/>
            <w:vAlign w:val="center"/>
          </w:tcPr>
          <w:p w14:paraId="3472BB8C">
            <w:pPr>
              <w:keepNext w:val="0"/>
              <w:keepLines w:val="0"/>
              <w:widowControl/>
              <w:suppressLineNumbers w:val="0"/>
              <w:jc w:val="center"/>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条件</w:t>
            </w:r>
          </w:p>
        </w:tc>
        <w:tc>
          <w:tcPr>
            <w:tcW w:w="1050" w:type="dxa"/>
            <w:tcBorders>
              <w:top w:val="single" w:color="000000" w:themeColor="dark1" w:sz="12" w:space="0"/>
              <w:left w:val="nil"/>
              <w:bottom w:val="single" w:color="000000" w:themeColor="dark1" w:sz="6" w:space="0"/>
              <w:right w:val="nil"/>
            </w:tcBorders>
            <w:shd w:val="clear" w:color="auto" w:fill="FFFFFF"/>
            <w:vAlign w:val="center"/>
          </w:tcPr>
          <w:p w14:paraId="2215F3D4">
            <w:pPr>
              <w:keepNext w:val="0"/>
              <w:keepLines w:val="0"/>
              <w:widowControl/>
              <w:suppressLineNumbers w:val="0"/>
              <w:jc w:val="center"/>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假设/比较</w:t>
            </w:r>
          </w:p>
        </w:tc>
        <w:tc>
          <w:tcPr>
            <w:tcW w:w="345" w:type="dxa"/>
            <w:tcBorders>
              <w:top w:val="single" w:color="000000" w:themeColor="dark1" w:sz="12" w:space="0"/>
              <w:left w:val="nil"/>
              <w:bottom w:val="single" w:color="000000" w:themeColor="dark1" w:sz="6" w:space="0"/>
              <w:right w:val="nil"/>
            </w:tcBorders>
            <w:shd w:val="clear" w:color="auto" w:fill="FFFFFF"/>
            <w:vAlign w:val="center"/>
          </w:tcPr>
          <w:p w14:paraId="57C24ADD">
            <w:pPr>
              <w:keepNext w:val="0"/>
              <w:keepLines w:val="0"/>
              <w:widowControl/>
              <w:suppressLineNumbers w:val="0"/>
              <w:jc w:val="center"/>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N</w:t>
            </w:r>
          </w:p>
        </w:tc>
        <w:tc>
          <w:tcPr>
            <w:tcW w:w="2035" w:type="dxa"/>
            <w:tcBorders>
              <w:top w:val="single" w:color="000000" w:themeColor="dark1" w:sz="12" w:space="0"/>
              <w:left w:val="nil"/>
              <w:bottom w:val="single" w:color="000000" w:themeColor="dark1" w:sz="6" w:space="0"/>
              <w:right w:val="nil"/>
            </w:tcBorders>
            <w:shd w:val="clear" w:color="auto" w:fill="FFFFFF"/>
            <w:vAlign w:val="center"/>
          </w:tcPr>
          <w:p w14:paraId="163D0482">
            <w:pPr>
              <w:keepNext w:val="0"/>
              <w:keepLines w:val="0"/>
              <w:widowControl/>
              <w:suppressLineNumbers w:val="0"/>
              <w:jc w:val="center"/>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原文报告结果</w:t>
            </w:r>
          </w:p>
        </w:tc>
        <w:tc>
          <w:tcPr>
            <w:tcW w:w="2034" w:type="dxa"/>
            <w:tcBorders>
              <w:top w:val="single" w:color="000000" w:themeColor="dark1" w:sz="12" w:space="0"/>
              <w:left w:val="nil"/>
              <w:bottom w:val="single" w:color="000000" w:themeColor="dark1" w:sz="6" w:space="0"/>
              <w:right w:val="nil"/>
            </w:tcBorders>
            <w:shd w:val="clear" w:color="auto" w:fill="FFFFFF"/>
            <w:vAlign w:val="center"/>
          </w:tcPr>
          <w:p w14:paraId="052636AE">
            <w:pPr>
              <w:keepNext w:val="0"/>
              <w:keepLines w:val="0"/>
              <w:widowControl/>
              <w:suppressLineNumbers w:val="0"/>
              <w:jc w:val="center"/>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本研究复现结果</w:t>
            </w:r>
          </w:p>
        </w:tc>
        <w:tc>
          <w:tcPr>
            <w:tcW w:w="765" w:type="dxa"/>
            <w:tcBorders>
              <w:top w:val="single" w:color="000000" w:themeColor="dark1" w:sz="12" w:space="0"/>
              <w:left w:val="nil"/>
              <w:bottom w:val="single" w:color="000000" w:themeColor="dark1" w:sz="6" w:space="0"/>
              <w:right w:val="nil"/>
            </w:tcBorders>
            <w:shd w:val="clear" w:color="auto" w:fill="FFFFFF"/>
            <w:vAlign w:val="center"/>
          </w:tcPr>
          <w:p w14:paraId="6F6A8659">
            <w:pPr>
              <w:keepNext w:val="0"/>
              <w:keepLines w:val="0"/>
              <w:widowControl/>
              <w:suppressLineNumbers w:val="0"/>
              <w:jc w:val="center"/>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δ/PE</w:t>
            </w:r>
          </w:p>
        </w:tc>
        <w:tc>
          <w:tcPr>
            <w:tcW w:w="629" w:type="dxa"/>
            <w:tcBorders>
              <w:top w:val="single" w:color="000000" w:themeColor="dark1" w:sz="12" w:space="0"/>
              <w:left w:val="nil"/>
              <w:bottom w:val="single" w:color="000000" w:themeColor="dark1" w:sz="6" w:space="0"/>
              <w:right w:val="nil"/>
            </w:tcBorders>
            <w:shd w:val="clear" w:color="auto" w:fill="FFFFFF"/>
            <w:vAlign w:val="center"/>
          </w:tcPr>
          <w:p w14:paraId="565AB231">
            <w:pPr>
              <w:keepNext w:val="0"/>
              <w:keepLines w:val="0"/>
              <w:widowControl/>
              <w:suppressLineNumbers w:val="0"/>
              <w:jc w:val="center"/>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评级</w:t>
            </w:r>
          </w:p>
        </w:tc>
        <w:tc>
          <w:tcPr>
            <w:tcW w:w="293" w:type="dxa"/>
            <w:tcBorders>
              <w:top w:val="single" w:color="000000" w:themeColor="dark1" w:sz="12" w:space="0"/>
              <w:left w:val="nil"/>
              <w:bottom w:val="single" w:color="000000" w:themeColor="dark1" w:sz="6" w:space="0"/>
              <w:right w:val="nil"/>
            </w:tcBorders>
            <w:shd w:val="clear" w:color="auto" w:fill="FFFFFF"/>
            <w:vAlign w:val="center"/>
          </w:tcPr>
          <w:p w14:paraId="1B38AB89">
            <w:pPr>
              <w:keepNext w:val="0"/>
              <w:keepLines w:val="0"/>
              <w:widowControl/>
              <w:suppressLineNumbers w:val="0"/>
              <w:jc w:val="center"/>
              <w:rPr>
                <w:b/>
                <w:bCs/>
                <w:i w:val="0"/>
                <w:color w:val="000000" w:themeColor="dark1"/>
                <w:sz w:val="21"/>
                <w:szCs w:val="21"/>
                <w14:textFill>
                  <w14:solidFill>
                    <w14:schemeClr w14:val="dk1"/>
                  </w14:solidFill>
                </w14:textFill>
              </w:rPr>
            </w:pPr>
            <w:r>
              <w:rPr>
                <w:rFonts w:ascii="宋体" w:hAnsi="宋体" w:eastAsia="宋体" w:cs="宋体"/>
                <w:b/>
                <w:bCs/>
                <w:i w:val="0"/>
                <w:color w:val="000000" w:themeColor="dark1"/>
                <w:kern w:val="0"/>
                <w:sz w:val="21"/>
                <w:szCs w:val="21"/>
                <w:lang w:val="en-US" w:eastAsia="zh-CN" w:bidi="ar"/>
                <w14:textFill>
                  <w14:solidFill>
                    <w14:schemeClr w14:val="dk1"/>
                  </w14:solidFill>
                </w14:textFill>
                <w14:ligatures w14:val="standardContextual"/>
              </w:rPr>
              <w:t>推论</w:t>
            </w:r>
          </w:p>
        </w:tc>
      </w:tr>
      <w:tr w14:paraId="7D6B1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dxa"/>
            <w:tcBorders>
              <w:top w:val="nil"/>
              <w:left w:val="nil"/>
              <w:bottom w:val="nil"/>
              <w:right w:val="nil"/>
            </w:tcBorders>
            <w:shd w:val="clear" w:color="auto" w:fill="FFFFFF"/>
            <w:vAlign w:val="center"/>
          </w:tcPr>
          <w:p w14:paraId="51709566">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Immediate</w:t>
            </w:r>
          </w:p>
        </w:tc>
        <w:tc>
          <w:tcPr>
            <w:tcW w:w="1050" w:type="dxa"/>
            <w:tcBorders>
              <w:top w:val="nil"/>
              <w:left w:val="nil"/>
              <w:bottom w:val="nil"/>
              <w:right w:val="nil"/>
            </w:tcBorders>
            <w:shd w:val="clear" w:color="auto" w:fill="FFFFFF"/>
            <w:vAlign w:val="center"/>
          </w:tcPr>
          <w:p w14:paraId="742A818B">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Guess 1 vs Average</w:t>
            </w:r>
          </w:p>
        </w:tc>
        <w:tc>
          <w:tcPr>
            <w:tcW w:w="345" w:type="dxa"/>
            <w:tcBorders>
              <w:top w:val="nil"/>
              <w:left w:val="nil"/>
              <w:bottom w:val="nil"/>
              <w:right w:val="nil"/>
            </w:tcBorders>
            <w:shd w:val="clear" w:color="auto" w:fill="FFFFFF"/>
            <w:vAlign w:val="center"/>
          </w:tcPr>
          <w:p w14:paraId="58F8B780">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471</w:t>
            </w:r>
          </w:p>
        </w:tc>
        <w:tc>
          <w:tcPr>
            <w:tcW w:w="2035" w:type="dxa"/>
            <w:tcBorders>
              <w:top w:val="nil"/>
              <w:left w:val="nil"/>
              <w:bottom w:val="nil"/>
              <w:right w:val="nil"/>
            </w:tcBorders>
            <w:shd w:val="clear" w:color="auto" w:fill="FFFFFF"/>
            <w:vAlign w:val="center"/>
          </w:tcPr>
          <w:p w14:paraId="63F0265B">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t(470) = 8.69, p &lt; .001, dz = 0.40, 95% CI [0.31, 0.49]</w:t>
            </w:r>
          </w:p>
        </w:tc>
        <w:tc>
          <w:tcPr>
            <w:tcW w:w="2034" w:type="dxa"/>
            <w:tcBorders>
              <w:top w:val="nil"/>
              <w:left w:val="nil"/>
              <w:bottom w:val="nil"/>
              <w:right w:val="nil"/>
            </w:tcBorders>
            <w:shd w:val="clear" w:color="auto" w:fill="FFFFFF"/>
            <w:vAlign w:val="center"/>
          </w:tcPr>
          <w:p w14:paraId="126B6243">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t(470) = 8.69, p &lt; .001, dz = 0.40, 95% CI [0.31, 0.49]</w:t>
            </w:r>
          </w:p>
        </w:tc>
        <w:tc>
          <w:tcPr>
            <w:tcW w:w="765" w:type="dxa"/>
            <w:tcBorders>
              <w:top w:val="nil"/>
              <w:left w:val="nil"/>
              <w:bottom w:val="nil"/>
              <w:right w:val="nil"/>
            </w:tcBorders>
            <w:shd w:val="clear" w:color="auto" w:fill="FFFFFF"/>
            <w:vAlign w:val="center"/>
          </w:tcPr>
          <w:p w14:paraId="75322650">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0% 或极小偏差</w:t>
            </w:r>
          </w:p>
        </w:tc>
        <w:tc>
          <w:tcPr>
            <w:tcW w:w="629" w:type="dxa"/>
            <w:tcBorders>
              <w:top w:val="nil"/>
              <w:left w:val="nil"/>
              <w:bottom w:val="nil"/>
              <w:right w:val="nil"/>
            </w:tcBorders>
            <w:shd w:val="clear" w:color="auto" w:fill="FFFFFF"/>
            <w:vAlign w:val="center"/>
          </w:tcPr>
          <w:p w14:paraId="15E484BD">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完全一致/舍入偏差</w:t>
            </w:r>
          </w:p>
        </w:tc>
        <w:tc>
          <w:tcPr>
            <w:tcW w:w="293" w:type="dxa"/>
            <w:tcBorders>
              <w:top w:val="nil"/>
              <w:left w:val="nil"/>
              <w:bottom w:val="nil"/>
              <w:right w:val="nil"/>
            </w:tcBorders>
            <w:shd w:val="clear" w:color="auto" w:fill="FFFFFF"/>
            <w:vAlign w:val="center"/>
          </w:tcPr>
          <w:p w14:paraId="7AABDA5C">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一致</w:t>
            </w:r>
          </w:p>
        </w:tc>
      </w:tr>
      <w:tr w14:paraId="7F04C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dxa"/>
            <w:tcBorders>
              <w:top w:val="nil"/>
              <w:left w:val="nil"/>
              <w:bottom w:val="nil"/>
              <w:right w:val="nil"/>
            </w:tcBorders>
            <w:shd w:val="clear" w:color="auto" w:fill="FFFFFF"/>
            <w:vAlign w:val="center"/>
          </w:tcPr>
          <w:p w14:paraId="76AE189F">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Immediate</w:t>
            </w:r>
          </w:p>
        </w:tc>
        <w:tc>
          <w:tcPr>
            <w:tcW w:w="1050" w:type="dxa"/>
            <w:tcBorders>
              <w:top w:val="nil"/>
              <w:left w:val="nil"/>
              <w:bottom w:val="nil"/>
              <w:right w:val="nil"/>
            </w:tcBorders>
            <w:shd w:val="clear" w:color="auto" w:fill="FFFFFF"/>
            <w:vAlign w:val="center"/>
          </w:tcPr>
          <w:p w14:paraId="4012C0BE">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Guess 2 vs Average</w:t>
            </w:r>
          </w:p>
        </w:tc>
        <w:tc>
          <w:tcPr>
            <w:tcW w:w="345" w:type="dxa"/>
            <w:tcBorders>
              <w:top w:val="nil"/>
              <w:left w:val="nil"/>
              <w:bottom w:val="nil"/>
              <w:right w:val="nil"/>
            </w:tcBorders>
            <w:shd w:val="clear" w:color="auto" w:fill="FFFFFF"/>
            <w:vAlign w:val="center"/>
          </w:tcPr>
          <w:p w14:paraId="11AEB063">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471</w:t>
            </w:r>
          </w:p>
        </w:tc>
        <w:tc>
          <w:tcPr>
            <w:tcW w:w="2035" w:type="dxa"/>
            <w:tcBorders>
              <w:top w:val="nil"/>
              <w:left w:val="nil"/>
              <w:bottom w:val="nil"/>
              <w:right w:val="nil"/>
            </w:tcBorders>
            <w:shd w:val="clear" w:color="auto" w:fill="FFFFFF"/>
            <w:vAlign w:val="center"/>
          </w:tcPr>
          <w:p w14:paraId="281F2DE0">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t(470) = 10.26, p &lt; .001, dz = 0.47, 95% CI [0.38, 0.57]</w:t>
            </w:r>
          </w:p>
        </w:tc>
        <w:tc>
          <w:tcPr>
            <w:tcW w:w="2034" w:type="dxa"/>
            <w:tcBorders>
              <w:top w:val="nil"/>
              <w:left w:val="nil"/>
              <w:bottom w:val="nil"/>
              <w:right w:val="nil"/>
            </w:tcBorders>
            <w:shd w:val="clear" w:color="auto" w:fill="FFFFFF"/>
            <w:vAlign w:val="center"/>
          </w:tcPr>
          <w:p w14:paraId="664DBAED">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t(470) = 10.26, p &lt; .001, dz = 0.47, 95% CI [0.38, 0.57]</w:t>
            </w:r>
          </w:p>
        </w:tc>
        <w:tc>
          <w:tcPr>
            <w:tcW w:w="765" w:type="dxa"/>
            <w:tcBorders>
              <w:top w:val="nil"/>
              <w:left w:val="nil"/>
              <w:bottom w:val="nil"/>
              <w:right w:val="nil"/>
            </w:tcBorders>
            <w:shd w:val="clear" w:color="auto" w:fill="FFFFFF"/>
            <w:vAlign w:val="center"/>
          </w:tcPr>
          <w:p w14:paraId="4536BFF3">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0% 或极小偏差</w:t>
            </w:r>
          </w:p>
        </w:tc>
        <w:tc>
          <w:tcPr>
            <w:tcW w:w="629" w:type="dxa"/>
            <w:tcBorders>
              <w:top w:val="nil"/>
              <w:left w:val="nil"/>
              <w:bottom w:val="nil"/>
              <w:right w:val="nil"/>
            </w:tcBorders>
            <w:shd w:val="clear" w:color="auto" w:fill="FFFFFF"/>
            <w:vAlign w:val="center"/>
          </w:tcPr>
          <w:p w14:paraId="255D5F20">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完全一致/舍入偏差</w:t>
            </w:r>
          </w:p>
        </w:tc>
        <w:tc>
          <w:tcPr>
            <w:tcW w:w="293" w:type="dxa"/>
            <w:tcBorders>
              <w:top w:val="nil"/>
              <w:left w:val="nil"/>
              <w:bottom w:val="nil"/>
              <w:right w:val="nil"/>
            </w:tcBorders>
            <w:shd w:val="clear" w:color="auto" w:fill="FFFFFF"/>
            <w:vAlign w:val="center"/>
          </w:tcPr>
          <w:p w14:paraId="33674630">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一致</w:t>
            </w:r>
          </w:p>
        </w:tc>
      </w:tr>
      <w:tr w14:paraId="00918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dxa"/>
            <w:tcBorders>
              <w:top w:val="nil"/>
              <w:left w:val="nil"/>
              <w:bottom w:val="nil"/>
              <w:right w:val="nil"/>
            </w:tcBorders>
            <w:shd w:val="clear" w:color="auto" w:fill="FFFFFF"/>
            <w:vAlign w:val="center"/>
          </w:tcPr>
          <w:p w14:paraId="0E80D1F1">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Delayed</w:t>
            </w:r>
          </w:p>
        </w:tc>
        <w:tc>
          <w:tcPr>
            <w:tcW w:w="1050" w:type="dxa"/>
            <w:tcBorders>
              <w:top w:val="nil"/>
              <w:left w:val="nil"/>
              <w:bottom w:val="nil"/>
              <w:right w:val="nil"/>
            </w:tcBorders>
            <w:shd w:val="clear" w:color="auto" w:fill="FFFFFF"/>
            <w:vAlign w:val="center"/>
          </w:tcPr>
          <w:p w14:paraId="5C5FFB59">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Guess 1 vs Average</w:t>
            </w:r>
          </w:p>
        </w:tc>
        <w:tc>
          <w:tcPr>
            <w:tcW w:w="345" w:type="dxa"/>
            <w:tcBorders>
              <w:top w:val="nil"/>
              <w:left w:val="nil"/>
              <w:bottom w:val="nil"/>
              <w:right w:val="nil"/>
            </w:tcBorders>
            <w:shd w:val="clear" w:color="auto" w:fill="FFFFFF"/>
            <w:vAlign w:val="center"/>
          </w:tcPr>
          <w:p w14:paraId="25BC678E">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140</w:t>
            </w:r>
          </w:p>
        </w:tc>
        <w:tc>
          <w:tcPr>
            <w:tcW w:w="2035" w:type="dxa"/>
            <w:tcBorders>
              <w:top w:val="nil"/>
              <w:left w:val="nil"/>
              <w:bottom w:val="nil"/>
              <w:right w:val="nil"/>
            </w:tcBorders>
            <w:shd w:val="clear" w:color="auto" w:fill="FFFFFF"/>
            <w:vAlign w:val="center"/>
          </w:tcPr>
          <w:p w14:paraId="6146A29A">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t(139) = 4.02, p &lt; .001, dz = 0.34, 95% CI [0.17, 0.51]</w:t>
            </w:r>
          </w:p>
        </w:tc>
        <w:tc>
          <w:tcPr>
            <w:tcW w:w="2034" w:type="dxa"/>
            <w:tcBorders>
              <w:top w:val="nil"/>
              <w:left w:val="nil"/>
              <w:bottom w:val="nil"/>
              <w:right w:val="nil"/>
            </w:tcBorders>
            <w:shd w:val="clear" w:color="auto" w:fill="FFFFFF"/>
            <w:vAlign w:val="center"/>
          </w:tcPr>
          <w:p w14:paraId="2EC50557">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t(139) = 4.02, p &lt; .001, dz = 0.34, 95% CI [0.17, 0.51]</w:t>
            </w:r>
          </w:p>
        </w:tc>
        <w:tc>
          <w:tcPr>
            <w:tcW w:w="765" w:type="dxa"/>
            <w:tcBorders>
              <w:top w:val="nil"/>
              <w:left w:val="nil"/>
              <w:bottom w:val="nil"/>
              <w:right w:val="nil"/>
            </w:tcBorders>
            <w:shd w:val="clear" w:color="auto" w:fill="FFFFFF"/>
            <w:vAlign w:val="center"/>
          </w:tcPr>
          <w:p w14:paraId="42D3B780">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0% 或极小偏差</w:t>
            </w:r>
          </w:p>
        </w:tc>
        <w:tc>
          <w:tcPr>
            <w:tcW w:w="629" w:type="dxa"/>
            <w:tcBorders>
              <w:top w:val="nil"/>
              <w:left w:val="nil"/>
              <w:bottom w:val="nil"/>
              <w:right w:val="nil"/>
            </w:tcBorders>
            <w:shd w:val="clear" w:color="auto" w:fill="FFFFFF"/>
            <w:vAlign w:val="center"/>
          </w:tcPr>
          <w:p w14:paraId="4550E6C3">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完全一致/舍入偏差</w:t>
            </w:r>
          </w:p>
        </w:tc>
        <w:tc>
          <w:tcPr>
            <w:tcW w:w="293" w:type="dxa"/>
            <w:tcBorders>
              <w:top w:val="nil"/>
              <w:left w:val="nil"/>
              <w:bottom w:val="nil"/>
              <w:right w:val="nil"/>
            </w:tcBorders>
            <w:shd w:val="clear" w:color="auto" w:fill="FFFFFF"/>
            <w:vAlign w:val="center"/>
          </w:tcPr>
          <w:p w14:paraId="411FB5D3">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一致</w:t>
            </w:r>
          </w:p>
        </w:tc>
      </w:tr>
      <w:tr w14:paraId="72BEC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75" w:type="dxa"/>
            <w:tcBorders>
              <w:top w:val="nil"/>
              <w:left w:val="nil"/>
              <w:bottom w:val="single" w:color="000000" w:themeColor="dark1" w:sz="12" w:space="0"/>
              <w:right w:val="nil"/>
            </w:tcBorders>
            <w:shd w:val="clear" w:color="auto" w:fill="FFFFFF"/>
            <w:vAlign w:val="center"/>
          </w:tcPr>
          <w:p w14:paraId="7E3A9259">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Delayed</w:t>
            </w:r>
          </w:p>
        </w:tc>
        <w:tc>
          <w:tcPr>
            <w:tcW w:w="1050" w:type="dxa"/>
            <w:tcBorders>
              <w:top w:val="nil"/>
              <w:left w:val="nil"/>
              <w:bottom w:val="single" w:color="000000" w:themeColor="dark1" w:sz="12" w:space="0"/>
              <w:right w:val="nil"/>
            </w:tcBorders>
            <w:shd w:val="clear" w:color="auto" w:fill="FFFFFF"/>
            <w:vAlign w:val="center"/>
          </w:tcPr>
          <w:p w14:paraId="3BC3143C">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Guess 2 vs Average</w:t>
            </w:r>
          </w:p>
        </w:tc>
        <w:tc>
          <w:tcPr>
            <w:tcW w:w="345" w:type="dxa"/>
            <w:tcBorders>
              <w:top w:val="nil"/>
              <w:left w:val="nil"/>
              <w:bottom w:val="single" w:color="000000" w:themeColor="dark1" w:sz="12" w:space="0"/>
              <w:right w:val="nil"/>
            </w:tcBorders>
            <w:shd w:val="clear" w:color="auto" w:fill="FFFFFF"/>
            <w:vAlign w:val="center"/>
          </w:tcPr>
          <w:p w14:paraId="18E619D4">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140</w:t>
            </w:r>
          </w:p>
        </w:tc>
        <w:tc>
          <w:tcPr>
            <w:tcW w:w="2035" w:type="dxa"/>
            <w:tcBorders>
              <w:top w:val="nil"/>
              <w:left w:val="nil"/>
              <w:bottom w:val="single" w:color="000000" w:themeColor="dark1" w:sz="12" w:space="0"/>
              <w:right w:val="nil"/>
            </w:tcBorders>
            <w:shd w:val="clear" w:color="auto" w:fill="FFFFFF"/>
            <w:vAlign w:val="center"/>
          </w:tcPr>
          <w:p w14:paraId="7F8DF0C9">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t(139) = 8.48, p &lt; .001, dz = 0.72, 95% CI [0.53, 0.90]</w:t>
            </w:r>
          </w:p>
        </w:tc>
        <w:tc>
          <w:tcPr>
            <w:tcW w:w="2034" w:type="dxa"/>
            <w:tcBorders>
              <w:top w:val="nil"/>
              <w:left w:val="nil"/>
              <w:bottom w:val="single" w:color="000000" w:themeColor="dark1" w:sz="12" w:space="0"/>
              <w:right w:val="nil"/>
            </w:tcBorders>
            <w:shd w:val="clear" w:color="auto" w:fill="FFFFFF"/>
            <w:vAlign w:val="center"/>
          </w:tcPr>
          <w:p w14:paraId="7299B885">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t(139) = 8.48, p &lt; .001, dz = 0.72, 95% CI [0.53, 0.90]</w:t>
            </w:r>
          </w:p>
        </w:tc>
        <w:tc>
          <w:tcPr>
            <w:tcW w:w="765" w:type="dxa"/>
            <w:tcBorders>
              <w:top w:val="nil"/>
              <w:left w:val="nil"/>
              <w:bottom w:val="single" w:color="000000" w:themeColor="dark1" w:sz="12" w:space="0"/>
              <w:right w:val="nil"/>
            </w:tcBorders>
            <w:shd w:val="clear" w:color="auto" w:fill="FFFFFF"/>
            <w:vAlign w:val="center"/>
          </w:tcPr>
          <w:p w14:paraId="346B2DF3">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0% 或极小偏差</w:t>
            </w:r>
          </w:p>
        </w:tc>
        <w:tc>
          <w:tcPr>
            <w:tcW w:w="629" w:type="dxa"/>
            <w:tcBorders>
              <w:top w:val="nil"/>
              <w:left w:val="nil"/>
              <w:bottom w:val="single" w:color="000000" w:themeColor="dark1" w:sz="12" w:space="0"/>
              <w:right w:val="nil"/>
            </w:tcBorders>
            <w:shd w:val="clear" w:color="auto" w:fill="FFFFFF"/>
            <w:vAlign w:val="center"/>
          </w:tcPr>
          <w:p w14:paraId="017DEB25">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完全一致/舍入偏差</w:t>
            </w:r>
          </w:p>
        </w:tc>
        <w:tc>
          <w:tcPr>
            <w:tcW w:w="293" w:type="dxa"/>
            <w:tcBorders>
              <w:top w:val="nil"/>
              <w:left w:val="nil"/>
              <w:bottom w:val="single" w:color="000000" w:themeColor="dark1" w:sz="12" w:space="0"/>
              <w:right w:val="nil"/>
            </w:tcBorders>
            <w:shd w:val="clear" w:color="auto" w:fill="FFFFFF"/>
            <w:vAlign w:val="center"/>
          </w:tcPr>
          <w:p w14:paraId="79C1BC1B">
            <w:pPr>
              <w:keepNext w:val="0"/>
              <w:keepLines w:val="0"/>
              <w:widowControl/>
              <w:suppressLineNumbers w:val="0"/>
              <w:jc w:val="center"/>
              <w:rPr>
                <w:b w:val="0"/>
                <w:i w:val="0"/>
                <w:color w:val="08090C"/>
                <w:sz w:val="21"/>
                <w:szCs w:val="21"/>
              </w:rPr>
            </w:pPr>
            <w:r>
              <w:rPr>
                <w:rFonts w:ascii="宋体" w:hAnsi="宋体" w:eastAsia="宋体" w:cs="宋体"/>
                <w:b w:val="0"/>
                <w:i w:val="0"/>
                <w:color w:val="08090C"/>
                <w:kern w:val="0"/>
                <w:sz w:val="21"/>
                <w:szCs w:val="21"/>
                <w:lang w:val="en-US" w:eastAsia="zh-CN" w:bidi="ar"/>
                <w14:ligatures w14:val="standardContextual"/>
              </w:rPr>
              <w:t>一致</w:t>
            </w:r>
          </w:p>
        </w:tc>
      </w:tr>
    </w:tbl>
    <w:p w14:paraId="604EA8E7">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宋体" w:hAnsi="宋体" w:eastAsia="宋体" w:cs="宋体"/>
          <w:b w:val="0"/>
          <w:bCs w:val="0"/>
          <w:sz w:val="21"/>
          <w:szCs w:val="21"/>
          <w14:ligatures w14:val="none"/>
        </w:rPr>
      </w:pPr>
      <w:r>
        <w:rPr>
          <w:rFonts w:hint="eastAsia" w:ascii="宋体" w:hAnsi="宋体" w:eastAsia="宋体" w:cs="宋体"/>
          <w:b w:val="0"/>
          <w:bCs w:val="0"/>
          <w:sz w:val="21"/>
          <w:szCs w:val="21"/>
          <w14:ligatures w14:val="none"/>
        </w:rPr>
        <w:t>结果显示，在 immediate condition 中，Guess 1 MSE（M = 589.29, SD = 336.14）显著高于 Average MSE（M = 541.49, SD = 313.41），t(470) = 8.69, p &lt; .001, dz = 0.40；Guess 2 MSE（M = 614.92, SD = 350.58）也显著高于 Average MSE，t(470) = 10.26, p &lt; .001, dz = 0.47。这说明在即时条件下，两次估计平均值比任一次单独估计更准确。</w:t>
      </w:r>
    </w:p>
    <w:p w14:paraId="6EFCD264">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宋体" w:hAnsi="宋体" w:eastAsia="宋体" w:cs="宋体"/>
          <w:b w:val="0"/>
          <w:bCs w:val="0"/>
          <w:sz w:val="21"/>
          <w:szCs w:val="21"/>
          <w14:ligatures w14:val="none"/>
        </w:rPr>
      </w:pPr>
      <w:r>
        <w:rPr>
          <w:rFonts w:hint="eastAsia" w:ascii="宋体" w:hAnsi="宋体" w:eastAsia="宋体" w:cs="宋体"/>
          <w:b w:val="0"/>
          <w:bCs w:val="0"/>
          <w:sz w:val="21"/>
          <w:szCs w:val="21"/>
          <w14:ligatures w14:val="none"/>
        </w:rPr>
        <w:t>在 delayed condition 中，Guess 1 MSE（M = 517.43, SD = 288.07）显著高于 Average MSE（M = 467.46, SD = 260.29），t(139) = 4.02, p &lt; .001, dz = 0.34；Guess 2 MSE（M = 588.89, SD = 326.72）也显著高于 Average MSE，t(139) = 8.48, p &lt; .001, dz = 0.72。这说明在三周延迟条件下，两次估计平均值同样比任一次单独估计更准确。</w:t>
      </w:r>
    </w:p>
    <w:p w14:paraId="35DC802D">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ascii="Times New Roman" w:hAnsi="Times New Roman" w:eastAsia="宋体" w:cs="Times New Roman"/>
          <w:b/>
          <w:bCs/>
          <w:sz w:val="22"/>
          <w14:ligatures w14:val="none"/>
        </w:rPr>
      </w:pPr>
      <w:r>
        <w:rPr>
          <w:rFonts w:hint="eastAsia" w:ascii="宋体" w:hAnsi="宋体" w:eastAsia="宋体" w:cs="宋体"/>
          <w:b w:val="0"/>
          <w:bCs w:val="0"/>
          <w:sz w:val="21"/>
          <w:szCs w:val="21"/>
          <w14:ligatures w14:val="none"/>
        </w:rPr>
        <w:t>因此，本研究成功复现了 Steegen 等人（2014）关于 crowd within 效应的四个核心统计推论。</w:t>
      </w:r>
    </w:p>
    <w:p w14:paraId="35DC802E">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3.2.2 使用与原文献不同方法的推断性统计</w:t>
      </w:r>
    </w:p>
    <w:p w14:paraId="5928144A">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在完成原文献方法的复现后，本研究进一步进行了补充性稳健性检查，包括双尾精确值核对和 Bayes factor 结果复核。需要说明的是，Steegen 等人（2014）原文已经报告了 Bayes factor，因此本研究中的 Bayes factor 不属于完全不同的理论模型，而是作为对原文贝叶斯证据的计算复核与补充呈现。Steegen 等人（2014）第 7 页 Table 5 报告了各项检验的 JZS Bayes factor。</w:t>
      </w:r>
    </w:p>
    <w:p w14:paraId="318C251E">
      <w:pPr>
        <w:keepNext w:val="0"/>
        <w:keepLines w:val="0"/>
        <w:pageBreakBefore w:val="0"/>
        <w:widowControl w:val="0"/>
        <w:kinsoku/>
        <w:wordWrap/>
        <w:overflowPunct/>
        <w:topLinePunct w:val="0"/>
        <w:autoSpaceDE/>
        <w:autoSpaceDN/>
        <w:bidi w:val="0"/>
        <w:adjustRightInd/>
        <w:snapToGrid/>
        <w:spacing w:line="300" w:lineRule="auto"/>
        <w:ind w:firstLine="361" w:firstLineChars="200"/>
        <w:jc w:val="center"/>
        <w:textAlignment w:val="auto"/>
        <w:rPr>
          <w:rFonts w:ascii="Times New Roman" w:hAnsi="Times New Roman" w:eastAsia="黑体" w:cs="Times New Roman"/>
          <w:b/>
          <w:bCs/>
          <w:sz w:val="18"/>
          <w:szCs w:val="18"/>
          <w14:ligatures w14:val="none"/>
        </w:rPr>
      </w:pPr>
    </w:p>
    <w:p w14:paraId="24CA6CFA">
      <w:pPr>
        <w:keepNext w:val="0"/>
        <w:keepLines w:val="0"/>
        <w:pageBreakBefore w:val="0"/>
        <w:widowControl w:val="0"/>
        <w:kinsoku/>
        <w:wordWrap/>
        <w:overflowPunct/>
        <w:topLinePunct w:val="0"/>
        <w:autoSpaceDE/>
        <w:autoSpaceDN/>
        <w:bidi w:val="0"/>
        <w:adjustRightInd/>
        <w:snapToGrid/>
        <w:spacing w:line="300" w:lineRule="auto"/>
        <w:ind w:firstLine="361" w:firstLineChars="200"/>
        <w:jc w:val="center"/>
        <w:textAlignment w:val="auto"/>
        <w:rPr>
          <w:rFonts w:ascii="Times New Roman" w:hAnsi="Times New Roman" w:eastAsia="黑体" w:cs="Times New Roman"/>
          <w:b/>
          <w:bCs/>
          <w:sz w:val="18"/>
          <w:szCs w:val="18"/>
          <w14:ligatures w14:val="none"/>
        </w:rPr>
      </w:pPr>
    </w:p>
    <w:p w14:paraId="35DC8030">
      <w:pPr>
        <w:keepNext w:val="0"/>
        <w:keepLines w:val="0"/>
        <w:pageBreakBefore w:val="0"/>
        <w:widowControl w:val="0"/>
        <w:kinsoku/>
        <w:wordWrap/>
        <w:overflowPunct/>
        <w:topLinePunct w:val="0"/>
        <w:autoSpaceDE/>
        <w:autoSpaceDN/>
        <w:bidi w:val="0"/>
        <w:adjustRightInd/>
        <w:snapToGrid/>
        <w:spacing w:line="300" w:lineRule="auto"/>
        <w:ind w:firstLine="361" w:firstLineChars="200"/>
        <w:jc w:val="center"/>
        <w:textAlignment w:val="auto"/>
        <w:rPr>
          <w:rFonts w:hint="eastAsia"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结果(创新方法)</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2"/>
        <w:gridCol w:w="1005"/>
        <w:gridCol w:w="1222"/>
        <w:gridCol w:w="1079"/>
        <w:gridCol w:w="1000"/>
        <w:gridCol w:w="1210"/>
        <w:gridCol w:w="1765"/>
        <w:gridCol w:w="753"/>
      </w:tblGrid>
      <w:tr w14:paraId="6D079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99" w:hRule="atLeast"/>
          <w:tblHeader/>
          <w:tblCellSpacing w:w="15" w:type="dxa"/>
        </w:trPr>
        <w:tc>
          <w:tcPr>
            <w:tcW w:w="189" w:type="pct"/>
            <w:tcBorders>
              <w:top w:val="single" w:color="000000" w:sz="12" w:space="0"/>
              <w:bottom w:val="single" w:color="000000" w:sz="4" w:space="0"/>
              <w:tl2br w:val="nil"/>
            </w:tcBorders>
            <w:shd w:val="clear" w:color="auto" w:fill="FFFFFF"/>
            <w:vAlign w:val="center"/>
          </w:tcPr>
          <w:p w14:paraId="253F91AB">
            <w:pPr>
              <w:keepNext w:val="0"/>
              <w:keepLines w:val="0"/>
              <w:widowControl/>
              <w:suppressLineNumbers w:val="0"/>
              <w:jc w:val="center"/>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standardContextual"/>
              </w:rPr>
              <w:t>假设</w:t>
            </w:r>
          </w:p>
        </w:tc>
        <w:tc>
          <w:tcPr>
            <w:tcW w:w="580" w:type="pct"/>
            <w:tcBorders>
              <w:top w:val="single" w:color="000000" w:sz="12" w:space="0"/>
              <w:bottom w:val="single" w:color="000000" w:sz="4" w:space="0"/>
            </w:tcBorders>
            <w:shd w:val="clear" w:color="auto" w:fill="FFFFFF"/>
            <w:vAlign w:val="center"/>
          </w:tcPr>
          <w:p w14:paraId="1EC5A7BC">
            <w:pPr>
              <w:keepNext w:val="0"/>
              <w:keepLines w:val="0"/>
              <w:widowControl/>
              <w:suppressLineNumbers w:val="0"/>
              <w:jc w:val="center"/>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standardContextual"/>
              </w:rPr>
              <w:t>条件</w:t>
            </w:r>
          </w:p>
        </w:tc>
        <w:tc>
          <w:tcPr>
            <w:tcW w:w="709" w:type="pct"/>
            <w:tcBorders>
              <w:top w:val="single" w:color="000000" w:sz="12" w:space="0"/>
              <w:bottom w:val="single" w:color="000000" w:sz="4" w:space="0"/>
            </w:tcBorders>
            <w:shd w:val="clear" w:color="auto" w:fill="FFFFFF"/>
            <w:vAlign w:val="center"/>
          </w:tcPr>
          <w:p w14:paraId="189039BE">
            <w:pPr>
              <w:keepNext w:val="0"/>
              <w:keepLines w:val="0"/>
              <w:widowControl/>
              <w:suppressLineNumbers w:val="0"/>
              <w:jc w:val="center"/>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standardContextual"/>
              </w:rPr>
              <w:t>比较</w:t>
            </w:r>
          </w:p>
        </w:tc>
        <w:tc>
          <w:tcPr>
            <w:tcW w:w="624" w:type="pct"/>
            <w:tcBorders>
              <w:top w:val="single" w:color="000000" w:sz="12" w:space="0"/>
              <w:bottom w:val="single" w:color="000000" w:sz="4" w:space="0"/>
            </w:tcBorders>
            <w:shd w:val="clear" w:color="auto" w:fill="FFFFFF"/>
            <w:vAlign w:val="center"/>
          </w:tcPr>
          <w:p w14:paraId="4FE2E7E0">
            <w:pPr>
              <w:keepNext w:val="0"/>
              <w:keepLines w:val="0"/>
              <w:widowControl/>
              <w:suppressLineNumbers w:val="0"/>
              <w:jc w:val="center"/>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standardContextual"/>
              </w:rPr>
              <w:t>新/补充方法</w:t>
            </w:r>
          </w:p>
        </w:tc>
        <w:tc>
          <w:tcPr>
            <w:tcW w:w="577" w:type="pct"/>
            <w:tcBorders>
              <w:top w:val="single" w:color="000000" w:sz="12" w:space="0"/>
              <w:bottom w:val="single" w:color="000000" w:sz="4" w:space="0"/>
            </w:tcBorders>
            <w:shd w:val="clear" w:color="auto" w:fill="FFFFFF"/>
            <w:vAlign w:val="center"/>
          </w:tcPr>
          <w:p w14:paraId="1837A568">
            <w:pPr>
              <w:keepNext w:val="0"/>
              <w:keepLines w:val="0"/>
              <w:widowControl/>
              <w:suppressLineNumbers w:val="0"/>
              <w:jc w:val="center"/>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standardContextual"/>
              </w:rPr>
              <w:t>统计量</w:t>
            </w:r>
          </w:p>
        </w:tc>
        <w:tc>
          <w:tcPr>
            <w:tcW w:w="702" w:type="pct"/>
            <w:tcBorders>
              <w:top w:val="single" w:color="000000" w:sz="12" w:space="0"/>
              <w:bottom w:val="single" w:color="000000" w:sz="4" w:space="0"/>
            </w:tcBorders>
            <w:shd w:val="clear" w:color="auto" w:fill="FFFFFF"/>
            <w:vAlign w:val="center"/>
          </w:tcPr>
          <w:p w14:paraId="3E327990">
            <w:pPr>
              <w:keepNext w:val="0"/>
              <w:keepLines w:val="0"/>
              <w:widowControl/>
              <w:suppressLineNumbers w:val="0"/>
              <w:jc w:val="center"/>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standardContextual"/>
              </w:rPr>
              <w:t>p / BF</w:t>
            </w:r>
          </w:p>
        </w:tc>
        <w:tc>
          <w:tcPr>
            <w:tcW w:w="1032" w:type="pct"/>
            <w:tcBorders>
              <w:top w:val="single" w:color="000000" w:sz="12" w:space="0"/>
              <w:bottom w:val="single" w:color="000000" w:sz="4" w:space="0"/>
            </w:tcBorders>
            <w:shd w:val="clear" w:color="auto" w:fill="FFFFFF"/>
            <w:vAlign w:val="center"/>
          </w:tcPr>
          <w:p w14:paraId="3900C231">
            <w:pPr>
              <w:keepNext w:val="0"/>
              <w:keepLines w:val="0"/>
              <w:widowControl/>
              <w:suppressLineNumbers w:val="0"/>
              <w:jc w:val="center"/>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standardContextual"/>
              </w:rPr>
              <w:t>推论</w:t>
            </w:r>
          </w:p>
        </w:tc>
        <w:tc>
          <w:tcPr>
            <w:tcW w:w="421" w:type="pct"/>
            <w:tcBorders>
              <w:top w:val="single" w:color="000000" w:sz="12" w:space="0"/>
              <w:bottom w:val="single" w:color="000000" w:sz="4" w:space="0"/>
            </w:tcBorders>
            <w:shd w:val="clear" w:color="auto" w:fill="FFFFFF"/>
            <w:vAlign w:val="center"/>
          </w:tcPr>
          <w:p w14:paraId="5CBDBC4D">
            <w:pPr>
              <w:keepNext w:val="0"/>
              <w:keepLines w:val="0"/>
              <w:widowControl/>
              <w:suppressLineNumbers w:val="0"/>
              <w:jc w:val="center"/>
              <w:rPr>
                <w:rFonts w:hint="eastAsia" w:ascii="宋体" w:hAnsi="宋体" w:eastAsia="宋体" w:cs="宋体"/>
                <w:b w:val="0"/>
                <w:bCs/>
                <w:color w:val="000000"/>
                <w:sz w:val="21"/>
                <w:szCs w:val="21"/>
              </w:rPr>
            </w:pPr>
            <w:r>
              <w:rPr>
                <w:rFonts w:hint="eastAsia" w:ascii="宋体" w:hAnsi="宋体" w:eastAsia="宋体" w:cs="宋体"/>
                <w:b w:val="0"/>
                <w:bCs/>
                <w:color w:val="000000"/>
                <w:kern w:val="0"/>
                <w:sz w:val="21"/>
                <w:szCs w:val="21"/>
                <w:lang w:val="en-US" w:eastAsia="zh-CN" w:bidi="ar"/>
                <w14:ligatures w14:val="standardContextual"/>
              </w:rPr>
              <w:t>是否与原文一致</w:t>
            </w:r>
          </w:p>
        </w:tc>
      </w:tr>
      <w:tr w14:paraId="5C952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9" w:type="pct"/>
            <w:tcBorders>
              <w:top w:val="nil"/>
            </w:tcBorders>
            <w:shd w:val="clear" w:color="auto" w:fill="FFFFFF"/>
            <w:vAlign w:val="center"/>
          </w:tcPr>
          <w:p w14:paraId="1B65DD9C">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H1</w:t>
            </w:r>
          </w:p>
        </w:tc>
        <w:tc>
          <w:tcPr>
            <w:tcW w:w="580" w:type="pct"/>
            <w:tcBorders>
              <w:top w:val="nil"/>
            </w:tcBorders>
            <w:shd w:val="clear" w:color="auto" w:fill="FFFFFF"/>
            <w:vAlign w:val="center"/>
          </w:tcPr>
          <w:p w14:paraId="0167B7D1">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Immediate</w:t>
            </w:r>
          </w:p>
        </w:tc>
        <w:tc>
          <w:tcPr>
            <w:tcW w:w="709" w:type="pct"/>
            <w:tcBorders>
              <w:top w:val="nil"/>
            </w:tcBorders>
            <w:shd w:val="clear" w:color="auto" w:fill="FFFFFF"/>
            <w:vAlign w:val="center"/>
          </w:tcPr>
          <w:p w14:paraId="6707B4AE">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Guess 1 vs Average</w:t>
            </w:r>
          </w:p>
        </w:tc>
        <w:tc>
          <w:tcPr>
            <w:tcW w:w="624" w:type="pct"/>
            <w:tcBorders>
              <w:top w:val="nil"/>
            </w:tcBorders>
            <w:shd w:val="clear" w:color="auto" w:fill="FFFFFF"/>
            <w:vAlign w:val="center"/>
          </w:tcPr>
          <w:p w14:paraId="737AFEA7">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双尾配对 t 检验</w:t>
            </w:r>
          </w:p>
        </w:tc>
        <w:tc>
          <w:tcPr>
            <w:tcW w:w="577" w:type="pct"/>
            <w:tcBorders>
              <w:top w:val="nil"/>
            </w:tcBorders>
            <w:shd w:val="clear" w:color="auto" w:fill="FFFFFF"/>
            <w:vAlign w:val="center"/>
          </w:tcPr>
          <w:p w14:paraId="18EE34D6">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t(470) = 8.69</w:t>
            </w:r>
          </w:p>
        </w:tc>
        <w:tc>
          <w:tcPr>
            <w:tcW w:w="702" w:type="pct"/>
            <w:tcBorders>
              <w:top w:val="nil"/>
            </w:tcBorders>
            <w:shd w:val="clear" w:color="auto" w:fill="FFFFFF"/>
            <w:vAlign w:val="center"/>
          </w:tcPr>
          <w:p w14:paraId="223371C7">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p = 6.16e-17</w:t>
            </w:r>
          </w:p>
        </w:tc>
        <w:tc>
          <w:tcPr>
            <w:tcW w:w="1032" w:type="pct"/>
            <w:tcBorders>
              <w:top w:val="nil"/>
            </w:tcBorders>
            <w:shd w:val="clear" w:color="auto" w:fill="FFFFFF"/>
            <w:vAlign w:val="center"/>
          </w:tcPr>
          <w:p w14:paraId="51DECD49">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Average MSE 显著低于 Guess 1 MSE</w:t>
            </w:r>
          </w:p>
        </w:tc>
        <w:tc>
          <w:tcPr>
            <w:tcW w:w="421" w:type="pct"/>
            <w:tcBorders>
              <w:top w:val="nil"/>
            </w:tcBorders>
            <w:shd w:val="clear" w:color="auto" w:fill="FFFFFF"/>
            <w:vAlign w:val="center"/>
          </w:tcPr>
          <w:p w14:paraId="0989B342">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一致</w:t>
            </w:r>
          </w:p>
        </w:tc>
      </w:tr>
      <w:tr w14:paraId="3EEC8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9" w:type="pct"/>
            <w:shd w:val="clear" w:color="auto" w:fill="FFFFFF"/>
            <w:vAlign w:val="center"/>
          </w:tcPr>
          <w:p w14:paraId="418B467B">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H2</w:t>
            </w:r>
          </w:p>
        </w:tc>
        <w:tc>
          <w:tcPr>
            <w:tcW w:w="580" w:type="pct"/>
            <w:shd w:val="clear" w:color="auto" w:fill="FFFFFF"/>
            <w:vAlign w:val="center"/>
          </w:tcPr>
          <w:p w14:paraId="389FA210">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Immediate</w:t>
            </w:r>
          </w:p>
        </w:tc>
        <w:tc>
          <w:tcPr>
            <w:tcW w:w="709" w:type="pct"/>
            <w:shd w:val="clear" w:color="auto" w:fill="FFFFFF"/>
            <w:vAlign w:val="center"/>
          </w:tcPr>
          <w:p w14:paraId="63EA4A75">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Guess 2 vs Average</w:t>
            </w:r>
          </w:p>
        </w:tc>
        <w:tc>
          <w:tcPr>
            <w:tcW w:w="624" w:type="pct"/>
            <w:shd w:val="clear" w:color="auto" w:fill="FFFFFF"/>
            <w:vAlign w:val="center"/>
          </w:tcPr>
          <w:p w14:paraId="247B4E70">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双尾配对 t 检验</w:t>
            </w:r>
          </w:p>
        </w:tc>
        <w:tc>
          <w:tcPr>
            <w:tcW w:w="577" w:type="pct"/>
            <w:shd w:val="clear" w:color="auto" w:fill="FFFFFF"/>
            <w:vAlign w:val="center"/>
          </w:tcPr>
          <w:p w14:paraId="3C1E1AB4">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t(470) = 10.26</w:t>
            </w:r>
          </w:p>
        </w:tc>
        <w:tc>
          <w:tcPr>
            <w:tcW w:w="702" w:type="pct"/>
            <w:shd w:val="clear" w:color="auto" w:fill="FFFFFF"/>
            <w:vAlign w:val="center"/>
          </w:tcPr>
          <w:p w14:paraId="22B1FA54">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p = 1.97e-22</w:t>
            </w:r>
          </w:p>
        </w:tc>
        <w:tc>
          <w:tcPr>
            <w:tcW w:w="1032" w:type="pct"/>
            <w:shd w:val="clear" w:color="auto" w:fill="FFFFFF"/>
            <w:vAlign w:val="center"/>
          </w:tcPr>
          <w:p w14:paraId="3D92B306">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Average MSE 显著低于 Guess 2 MSE</w:t>
            </w:r>
          </w:p>
        </w:tc>
        <w:tc>
          <w:tcPr>
            <w:tcW w:w="421" w:type="pct"/>
            <w:shd w:val="clear" w:color="auto" w:fill="FFFFFF"/>
            <w:vAlign w:val="center"/>
          </w:tcPr>
          <w:p w14:paraId="42E16C93">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一致</w:t>
            </w:r>
          </w:p>
        </w:tc>
      </w:tr>
      <w:tr w14:paraId="096AD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9" w:type="pct"/>
            <w:shd w:val="clear" w:color="auto" w:fill="FFFFFF"/>
            <w:vAlign w:val="center"/>
          </w:tcPr>
          <w:p w14:paraId="109F03A3">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H3</w:t>
            </w:r>
          </w:p>
        </w:tc>
        <w:tc>
          <w:tcPr>
            <w:tcW w:w="580" w:type="pct"/>
            <w:shd w:val="clear" w:color="auto" w:fill="FFFFFF"/>
            <w:vAlign w:val="center"/>
          </w:tcPr>
          <w:p w14:paraId="54DCD9AC">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Delayed</w:t>
            </w:r>
          </w:p>
        </w:tc>
        <w:tc>
          <w:tcPr>
            <w:tcW w:w="709" w:type="pct"/>
            <w:shd w:val="clear" w:color="auto" w:fill="FFFFFF"/>
            <w:vAlign w:val="center"/>
          </w:tcPr>
          <w:p w14:paraId="7DFE4012">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Guess 1 vs Average</w:t>
            </w:r>
          </w:p>
        </w:tc>
        <w:tc>
          <w:tcPr>
            <w:tcW w:w="624" w:type="pct"/>
            <w:shd w:val="clear" w:color="auto" w:fill="FFFFFF"/>
            <w:vAlign w:val="center"/>
          </w:tcPr>
          <w:p w14:paraId="42D0C164">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双尾配对 t 检验</w:t>
            </w:r>
          </w:p>
        </w:tc>
        <w:tc>
          <w:tcPr>
            <w:tcW w:w="577" w:type="pct"/>
            <w:shd w:val="clear" w:color="auto" w:fill="FFFFFF"/>
            <w:vAlign w:val="center"/>
          </w:tcPr>
          <w:p w14:paraId="6421B40D">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t(139) = 4.02</w:t>
            </w:r>
          </w:p>
        </w:tc>
        <w:tc>
          <w:tcPr>
            <w:tcW w:w="702" w:type="pct"/>
            <w:shd w:val="clear" w:color="auto" w:fill="FFFFFF"/>
            <w:vAlign w:val="center"/>
          </w:tcPr>
          <w:p w14:paraId="1FDB6CE2">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p = 9.44e-05</w:t>
            </w:r>
          </w:p>
        </w:tc>
        <w:tc>
          <w:tcPr>
            <w:tcW w:w="1032" w:type="pct"/>
            <w:shd w:val="clear" w:color="auto" w:fill="FFFFFF"/>
            <w:vAlign w:val="center"/>
          </w:tcPr>
          <w:p w14:paraId="0E304DCF">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Average MSE 显著低于 Guess 1 MSE</w:t>
            </w:r>
          </w:p>
        </w:tc>
        <w:tc>
          <w:tcPr>
            <w:tcW w:w="421" w:type="pct"/>
            <w:shd w:val="clear" w:color="auto" w:fill="FFFFFF"/>
            <w:vAlign w:val="center"/>
          </w:tcPr>
          <w:p w14:paraId="188783F6">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一致</w:t>
            </w:r>
          </w:p>
        </w:tc>
      </w:tr>
      <w:tr w14:paraId="156DB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9" w:type="pct"/>
            <w:shd w:val="clear" w:color="auto" w:fill="FFFFFF"/>
            <w:vAlign w:val="center"/>
          </w:tcPr>
          <w:p w14:paraId="1A9CE86B">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H4</w:t>
            </w:r>
          </w:p>
        </w:tc>
        <w:tc>
          <w:tcPr>
            <w:tcW w:w="580" w:type="pct"/>
            <w:shd w:val="clear" w:color="auto" w:fill="FFFFFF"/>
            <w:vAlign w:val="center"/>
          </w:tcPr>
          <w:p w14:paraId="303ADCEE">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Delayed</w:t>
            </w:r>
          </w:p>
        </w:tc>
        <w:tc>
          <w:tcPr>
            <w:tcW w:w="709" w:type="pct"/>
            <w:shd w:val="clear" w:color="auto" w:fill="FFFFFF"/>
            <w:vAlign w:val="center"/>
          </w:tcPr>
          <w:p w14:paraId="5705C377">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Guess 2 vs Average</w:t>
            </w:r>
          </w:p>
        </w:tc>
        <w:tc>
          <w:tcPr>
            <w:tcW w:w="624" w:type="pct"/>
            <w:shd w:val="clear" w:color="auto" w:fill="FFFFFF"/>
            <w:vAlign w:val="center"/>
          </w:tcPr>
          <w:p w14:paraId="12100A4B">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双尾配对 t 检验</w:t>
            </w:r>
          </w:p>
        </w:tc>
        <w:tc>
          <w:tcPr>
            <w:tcW w:w="577" w:type="pct"/>
            <w:shd w:val="clear" w:color="auto" w:fill="FFFFFF"/>
            <w:vAlign w:val="center"/>
          </w:tcPr>
          <w:p w14:paraId="597E4A41">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t(139) = 8.48</w:t>
            </w:r>
          </w:p>
        </w:tc>
        <w:tc>
          <w:tcPr>
            <w:tcW w:w="702" w:type="pct"/>
            <w:shd w:val="clear" w:color="auto" w:fill="FFFFFF"/>
            <w:vAlign w:val="center"/>
          </w:tcPr>
          <w:p w14:paraId="3903BCAD">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p = 2.98e-14</w:t>
            </w:r>
          </w:p>
        </w:tc>
        <w:tc>
          <w:tcPr>
            <w:tcW w:w="1032" w:type="pct"/>
            <w:shd w:val="clear" w:color="auto" w:fill="FFFFFF"/>
            <w:vAlign w:val="center"/>
          </w:tcPr>
          <w:p w14:paraId="1B4520FE">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Average MSE 显著低于 Guess 2 MSE</w:t>
            </w:r>
          </w:p>
        </w:tc>
        <w:tc>
          <w:tcPr>
            <w:tcW w:w="421" w:type="pct"/>
            <w:shd w:val="clear" w:color="auto" w:fill="FFFFFF"/>
            <w:vAlign w:val="center"/>
          </w:tcPr>
          <w:p w14:paraId="0441EE0E">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一致</w:t>
            </w:r>
          </w:p>
        </w:tc>
      </w:tr>
      <w:tr w14:paraId="4710F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9" w:type="pct"/>
            <w:shd w:val="clear" w:color="auto" w:fill="FFFFFF"/>
            <w:vAlign w:val="center"/>
          </w:tcPr>
          <w:p w14:paraId="66E50DBA">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H1</w:t>
            </w:r>
          </w:p>
        </w:tc>
        <w:tc>
          <w:tcPr>
            <w:tcW w:w="580" w:type="pct"/>
            <w:shd w:val="clear" w:color="auto" w:fill="FFFFFF"/>
            <w:vAlign w:val="center"/>
          </w:tcPr>
          <w:p w14:paraId="3B9FDAD1">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Immediate</w:t>
            </w:r>
          </w:p>
        </w:tc>
        <w:tc>
          <w:tcPr>
            <w:tcW w:w="709" w:type="pct"/>
            <w:shd w:val="clear" w:color="auto" w:fill="FFFFFF"/>
            <w:vAlign w:val="center"/>
          </w:tcPr>
          <w:p w14:paraId="6E59199C">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Guess 1 vs Average</w:t>
            </w:r>
          </w:p>
        </w:tc>
        <w:tc>
          <w:tcPr>
            <w:tcW w:w="624" w:type="pct"/>
            <w:shd w:val="clear" w:color="auto" w:fill="FFFFFF"/>
            <w:vAlign w:val="center"/>
          </w:tcPr>
          <w:p w14:paraId="00332712">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JZS Bayes factor</w:t>
            </w:r>
          </w:p>
        </w:tc>
        <w:tc>
          <w:tcPr>
            <w:tcW w:w="577" w:type="pct"/>
            <w:shd w:val="clear" w:color="auto" w:fill="FFFFFF"/>
            <w:vAlign w:val="center"/>
          </w:tcPr>
          <w:p w14:paraId="18589FAD">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w:t>
            </w:r>
          </w:p>
        </w:tc>
        <w:tc>
          <w:tcPr>
            <w:tcW w:w="702" w:type="pct"/>
            <w:shd w:val="clear" w:color="auto" w:fill="FFFFFF"/>
            <w:vAlign w:val="center"/>
          </w:tcPr>
          <w:p w14:paraId="5D7A9D77">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BF01 ≈ 1.49e-14</w:t>
            </w:r>
          </w:p>
        </w:tc>
        <w:tc>
          <w:tcPr>
            <w:tcW w:w="1032" w:type="pct"/>
            <w:shd w:val="clear" w:color="auto" w:fill="FFFFFF"/>
            <w:vAlign w:val="center"/>
          </w:tcPr>
          <w:p w14:paraId="2A18857D">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支持差异存在</w:t>
            </w:r>
          </w:p>
        </w:tc>
        <w:tc>
          <w:tcPr>
            <w:tcW w:w="421" w:type="pct"/>
            <w:shd w:val="clear" w:color="auto" w:fill="FFFFFF"/>
            <w:vAlign w:val="center"/>
          </w:tcPr>
          <w:p w14:paraId="320F5619">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一致</w:t>
            </w:r>
          </w:p>
        </w:tc>
      </w:tr>
      <w:tr w14:paraId="4431E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9" w:type="pct"/>
            <w:shd w:val="clear" w:color="auto" w:fill="FFFFFF"/>
            <w:vAlign w:val="center"/>
          </w:tcPr>
          <w:p w14:paraId="1227CD78">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H2</w:t>
            </w:r>
          </w:p>
        </w:tc>
        <w:tc>
          <w:tcPr>
            <w:tcW w:w="580" w:type="pct"/>
            <w:shd w:val="clear" w:color="auto" w:fill="FFFFFF"/>
            <w:vAlign w:val="center"/>
          </w:tcPr>
          <w:p w14:paraId="006D8F66">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Immediate</w:t>
            </w:r>
          </w:p>
        </w:tc>
        <w:tc>
          <w:tcPr>
            <w:tcW w:w="709" w:type="pct"/>
            <w:shd w:val="clear" w:color="auto" w:fill="FFFFFF"/>
            <w:vAlign w:val="center"/>
          </w:tcPr>
          <w:p w14:paraId="308992FD">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Guess 2 vs Average</w:t>
            </w:r>
          </w:p>
        </w:tc>
        <w:tc>
          <w:tcPr>
            <w:tcW w:w="624" w:type="pct"/>
            <w:shd w:val="clear" w:color="auto" w:fill="FFFFFF"/>
            <w:vAlign w:val="center"/>
          </w:tcPr>
          <w:p w14:paraId="78FFFA2F">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JZS Bayes factor</w:t>
            </w:r>
          </w:p>
        </w:tc>
        <w:tc>
          <w:tcPr>
            <w:tcW w:w="577" w:type="pct"/>
            <w:shd w:val="clear" w:color="auto" w:fill="FFFFFF"/>
            <w:vAlign w:val="center"/>
          </w:tcPr>
          <w:p w14:paraId="3FA97887">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w:t>
            </w:r>
          </w:p>
        </w:tc>
        <w:tc>
          <w:tcPr>
            <w:tcW w:w="702" w:type="pct"/>
            <w:shd w:val="clear" w:color="auto" w:fill="FFFFFF"/>
            <w:vAlign w:val="center"/>
          </w:tcPr>
          <w:p w14:paraId="1C859329">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BF01 ≈ 5.82e-20</w:t>
            </w:r>
          </w:p>
        </w:tc>
        <w:tc>
          <w:tcPr>
            <w:tcW w:w="1032" w:type="pct"/>
            <w:shd w:val="clear" w:color="auto" w:fill="FFFFFF"/>
            <w:vAlign w:val="center"/>
          </w:tcPr>
          <w:p w14:paraId="198DB81F">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支持差异存在</w:t>
            </w:r>
          </w:p>
        </w:tc>
        <w:tc>
          <w:tcPr>
            <w:tcW w:w="421" w:type="pct"/>
            <w:shd w:val="clear" w:color="auto" w:fill="FFFFFF"/>
            <w:vAlign w:val="center"/>
          </w:tcPr>
          <w:p w14:paraId="4E597C6A">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一致</w:t>
            </w:r>
          </w:p>
        </w:tc>
      </w:tr>
      <w:tr w14:paraId="6CCAC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9" w:type="pct"/>
            <w:shd w:val="clear" w:color="auto" w:fill="FFFFFF"/>
            <w:vAlign w:val="center"/>
          </w:tcPr>
          <w:p w14:paraId="484DC489">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H3</w:t>
            </w:r>
          </w:p>
        </w:tc>
        <w:tc>
          <w:tcPr>
            <w:tcW w:w="580" w:type="pct"/>
            <w:shd w:val="clear" w:color="auto" w:fill="FFFFFF"/>
            <w:vAlign w:val="center"/>
          </w:tcPr>
          <w:p w14:paraId="13367A6E">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Delayed</w:t>
            </w:r>
          </w:p>
        </w:tc>
        <w:tc>
          <w:tcPr>
            <w:tcW w:w="709" w:type="pct"/>
            <w:shd w:val="clear" w:color="auto" w:fill="FFFFFF"/>
            <w:vAlign w:val="center"/>
          </w:tcPr>
          <w:p w14:paraId="4717A31D">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Guess 1 vs Average</w:t>
            </w:r>
          </w:p>
        </w:tc>
        <w:tc>
          <w:tcPr>
            <w:tcW w:w="624" w:type="pct"/>
            <w:shd w:val="clear" w:color="auto" w:fill="FFFFFF"/>
            <w:vAlign w:val="center"/>
          </w:tcPr>
          <w:p w14:paraId="223BF639">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JZS Bayes factor</w:t>
            </w:r>
          </w:p>
        </w:tc>
        <w:tc>
          <w:tcPr>
            <w:tcW w:w="577" w:type="pct"/>
            <w:shd w:val="clear" w:color="auto" w:fill="FFFFFF"/>
            <w:vAlign w:val="center"/>
          </w:tcPr>
          <w:p w14:paraId="34D7F5EE">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w:t>
            </w:r>
          </w:p>
        </w:tc>
        <w:tc>
          <w:tcPr>
            <w:tcW w:w="702" w:type="pct"/>
            <w:shd w:val="clear" w:color="auto" w:fill="FFFFFF"/>
            <w:vAlign w:val="center"/>
          </w:tcPr>
          <w:p w14:paraId="561A241F">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BF01 ≈ 0.0058</w:t>
            </w:r>
          </w:p>
        </w:tc>
        <w:tc>
          <w:tcPr>
            <w:tcW w:w="1032" w:type="pct"/>
            <w:shd w:val="clear" w:color="auto" w:fill="FFFFFF"/>
            <w:vAlign w:val="center"/>
          </w:tcPr>
          <w:p w14:paraId="40998C86">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支持差异存在</w:t>
            </w:r>
          </w:p>
        </w:tc>
        <w:tc>
          <w:tcPr>
            <w:tcW w:w="421" w:type="pct"/>
            <w:shd w:val="clear" w:color="auto" w:fill="FFFFFF"/>
            <w:vAlign w:val="center"/>
          </w:tcPr>
          <w:p w14:paraId="2B9899DC">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一致</w:t>
            </w:r>
          </w:p>
        </w:tc>
      </w:tr>
      <w:tr w14:paraId="3C280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9" w:type="pct"/>
            <w:tcBorders>
              <w:bottom w:val="single" w:color="000000" w:sz="12" w:space="0"/>
            </w:tcBorders>
            <w:shd w:val="clear" w:color="auto" w:fill="FFFFFF"/>
            <w:vAlign w:val="center"/>
          </w:tcPr>
          <w:p w14:paraId="6666CE7C">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H4</w:t>
            </w:r>
          </w:p>
        </w:tc>
        <w:tc>
          <w:tcPr>
            <w:tcW w:w="580" w:type="pct"/>
            <w:tcBorders>
              <w:bottom w:val="single" w:color="000000" w:sz="12" w:space="0"/>
            </w:tcBorders>
            <w:shd w:val="clear" w:color="auto" w:fill="FFFFFF"/>
            <w:vAlign w:val="center"/>
          </w:tcPr>
          <w:p w14:paraId="551EC380">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Delayed</w:t>
            </w:r>
          </w:p>
        </w:tc>
        <w:tc>
          <w:tcPr>
            <w:tcW w:w="709" w:type="pct"/>
            <w:tcBorders>
              <w:bottom w:val="single" w:color="000000" w:sz="12" w:space="0"/>
            </w:tcBorders>
            <w:shd w:val="clear" w:color="auto" w:fill="FFFFFF"/>
            <w:vAlign w:val="center"/>
          </w:tcPr>
          <w:p w14:paraId="34495416">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Guess 2 vs Average</w:t>
            </w:r>
          </w:p>
        </w:tc>
        <w:tc>
          <w:tcPr>
            <w:tcW w:w="624" w:type="pct"/>
            <w:tcBorders>
              <w:bottom w:val="single" w:color="000000" w:sz="12" w:space="0"/>
            </w:tcBorders>
            <w:shd w:val="clear" w:color="auto" w:fill="FFFFFF"/>
            <w:vAlign w:val="center"/>
          </w:tcPr>
          <w:p w14:paraId="254B8D7A">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JZS Bayes factor</w:t>
            </w:r>
          </w:p>
        </w:tc>
        <w:tc>
          <w:tcPr>
            <w:tcW w:w="577" w:type="pct"/>
            <w:tcBorders>
              <w:bottom w:val="single" w:color="000000" w:sz="12" w:space="0"/>
            </w:tcBorders>
            <w:shd w:val="clear" w:color="auto" w:fill="FFFFFF"/>
            <w:vAlign w:val="center"/>
          </w:tcPr>
          <w:p w14:paraId="106B29DA">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w:t>
            </w:r>
          </w:p>
        </w:tc>
        <w:tc>
          <w:tcPr>
            <w:tcW w:w="702" w:type="pct"/>
            <w:tcBorders>
              <w:bottom w:val="single" w:color="000000" w:sz="12" w:space="0"/>
            </w:tcBorders>
            <w:shd w:val="clear" w:color="auto" w:fill="FFFFFF"/>
            <w:vAlign w:val="center"/>
          </w:tcPr>
          <w:p w14:paraId="17C75EDE">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BF01 ≈ 4.47e-09</w:t>
            </w:r>
          </w:p>
        </w:tc>
        <w:tc>
          <w:tcPr>
            <w:tcW w:w="1032" w:type="pct"/>
            <w:tcBorders>
              <w:bottom w:val="single" w:color="000000" w:sz="12" w:space="0"/>
            </w:tcBorders>
            <w:shd w:val="clear" w:color="auto" w:fill="FFFFFF"/>
            <w:vAlign w:val="center"/>
          </w:tcPr>
          <w:p w14:paraId="2D40D1BC">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支持差异存在</w:t>
            </w:r>
          </w:p>
        </w:tc>
        <w:tc>
          <w:tcPr>
            <w:tcW w:w="421" w:type="pct"/>
            <w:tcBorders>
              <w:bottom w:val="single" w:color="000000" w:sz="12" w:space="0"/>
            </w:tcBorders>
            <w:shd w:val="clear" w:color="auto" w:fill="FFFFFF"/>
            <w:vAlign w:val="center"/>
          </w:tcPr>
          <w:p w14:paraId="72DC0C9B">
            <w:pPr>
              <w:keepNext w:val="0"/>
              <w:keepLines w:val="0"/>
              <w:widowControl/>
              <w:suppressLineNumbers w:val="0"/>
              <w:jc w:val="left"/>
              <w:rPr>
                <w:rFonts w:hint="eastAsia" w:ascii="宋体" w:hAnsi="宋体" w:eastAsia="宋体" w:cs="宋体"/>
                <w:b w:val="0"/>
                <w:color w:val="000000"/>
                <w:sz w:val="21"/>
                <w:szCs w:val="21"/>
              </w:rPr>
            </w:pPr>
            <w:r>
              <w:rPr>
                <w:rFonts w:hint="eastAsia" w:ascii="宋体" w:hAnsi="宋体" w:eastAsia="宋体" w:cs="宋体"/>
                <w:b w:val="0"/>
                <w:color w:val="000000"/>
                <w:kern w:val="0"/>
                <w:sz w:val="21"/>
                <w:szCs w:val="21"/>
                <w:lang w:val="en-US" w:eastAsia="zh-CN" w:bidi="ar"/>
                <w14:ligatures w14:val="standardContextual"/>
              </w:rPr>
              <w:t>一致</w:t>
            </w:r>
          </w:p>
        </w:tc>
      </w:tr>
    </w:tbl>
    <w:p w14:paraId="4E505E27">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宋体" w:hAnsi="宋体" w:eastAsia="宋体" w:cs="宋体"/>
          <w:b w:val="0"/>
          <w:bCs w:val="0"/>
          <w:sz w:val="21"/>
          <w:szCs w:val="21"/>
          <w14:ligatures w14:val="none"/>
        </w:rPr>
      </w:pPr>
      <w:r>
        <w:rPr>
          <w:rFonts w:hint="eastAsia" w:ascii="宋体" w:hAnsi="宋体" w:eastAsia="宋体" w:cs="宋体"/>
          <w:b w:val="0"/>
          <w:bCs w:val="0"/>
          <w:sz w:val="21"/>
          <w:szCs w:val="21"/>
          <w14:ligatures w14:val="none"/>
        </w:rPr>
        <w:t>补充分析结果显示，四个核心比较在双尾检验下仍均达到显著水平，且 Bayes factor 均支持差异存在。由于 BF01 表示零假设相对于备择假设的证据强度，因此 BF01 小于 1 表明数据更支持备择假设，即 Average MSE 低于单次估计 MSE。该结果与 Steegen 等人（2014）的原始推论一致。</w:t>
      </w:r>
    </w:p>
    <w:p w14:paraId="36AFB200">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宋体" w:hAnsi="宋体" w:eastAsia="宋体" w:cs="宋体"/>
          <w:b w:val="0"/>
          <w:bCs w:val="0"/>
          <w:sz w:val="21"/>
          <w:szCs w:val="21"/>
          <w14:ligatures w14:val="none"/>
        </w:rPr>
      </w:pPr>
      <w:r>
        <w:rPr>
          <w:rFonts w:hint="eastAsia" w:ascii="宋体" w:hAnsi="宋体" w:eastAsia="宋体" w:cs="宋体"/>
          <w:b w:val="0"/>
          <w:bCs w:val="0"/>
          <w:sz w:val="21"/>
          <w:szCs w:val="21"/>
          <w14:ligatures w14:val="none"/>
        </w:rPr>
        <w:t>此外，本研究复现了 Steegen 等人（2014）的部分补充分析。结果显示，在 immediate condition 和 delayed condition 中，Guess 2 MSE 均显著高于 Guess 1 MSE，说明第二次估计本身并不比第一次估计更准确；因此，Average MSE 的优势不能简单归因于被试第二次估计时获得了更多信息。Steegen 等人（2014）也在原文中指出，第二次估计比第一次估计误差更大，这可以排除“被试在两次估计之间查找答案”这一解释。</w:t>
      </w:r>
    </w:p>
    <w:p w14:paraId="4DB59EA2">
      <w:pPr>
        <w:keepNext w:val="0"/>
        <w:keepLines w:val="0"/>
        <w:pageBreakBefore w:val="0"/>
        <w:widowControl w:val="0"/>
        <w:kinsoku/>
        <w:wordWrap/>
        <w:overflowPunct/>
        <w:topLinePunct w:val="0"/>
        <w:autoSpaceDE/>
        <w:autoSpaceDN/>
        <w:bidi w:val="0"/>
        <w:adjustRightInd/>
        <w:snapToGrid/>
        <w:spacing w:line="300" w:lineRule="auto"/>
        <w:ind w:firstLine="361" w:firstLineChars="200"/>
        <w:jc w:val="center"/>
        <w:textAlignment w:val="auto"/>
        <w:rPr>
          <w:rFonts w:hint="eastAsia" w:ascii="黑体" w:hAnsi="黑体" w:eastAsia="黑体" w:cs="黑体"/>
          <w:b/>
          <w:bCs/>
          <w:sz w:val="18"/>
          <w:szCs w:val="18"/>
        </w:rPr>
      </w:pPr>
      <w:r>
        <w:rPr>
          <w:rFonts w:hint="eastAsia" w:ascii="黑体" w:hAnsi="黑体" w:eastAsia="黑体" w:cs="黑体"/>
          <w:b/>
          <w:bCs/>
          <w:sz w:val="18"/>
          <w:szCs w:val="18"/>
        </w:rPr>
        <w:t>表 6 补充 t 检验结果</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4"/>
        <w:gridCol w:w="2007"/>
        <w:gridCol w:w="3761"/>
        <w:gridCol w:w="644"/>
      </w:tblGrid>
      <w:tr w14:paraId="58798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000000" w:sz="12" w:space="0"/>
              <w:bottom w:val="single" w:color="000000" w:sz="4" w:space="0"/>
              <w:tl2br w:val="nil"/>
            </w:tcBorders>
            <w:shd w:val="clear" w:color="auto" w:fill="FFFFFF"/>
            <w:vAlign w:val="center"/>
          </w:tcPr>
          <w:p w14:paraId="67F07597">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分析</w:t>
            </w:r>
          </w:p>
        </w:tc>
        <w:tc>
          <w:tcPr>
            <w:tcW w:w="0" w:type="auto"/>
            <w:tcBorders>
              <w:top w:val="single" w:color="000000" w:sz="12" w:space="0"/>
              <w:bottom w:val="single" w:color="000000" w:sz="4" w:space="0"/>
            </w:tcBorders>
            <w:shd w:val="clear" w:color="auto" w:fill="FFFFFF"/>
            <w:vAlign w:val="center"/>
          </w:tcPr>
          <w:p w14:paraId="2A1A7000">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原文对应结论</w:t>
            </w:r>
          </w:p>
        </w:tc>
        <w:tc>
          <w:tcPr>
            <w:tcW w:w="0" w:type="auto"/>
            <w:tcBorders>
              <w:top w:val="single" w:color="000000" w:sz="12" w:space="0"/>
              <w:bottom w:val="single" w:color="000000" w:sz="4" w:space="0"/>
            </w:tcBorders>
            <w:shd w:val="clear" w:color="auto" w:fill="FFFFFF"/>
            <w:vAlign w:val="center"/>
          </w:tcPr>
          <w:p w14:paraId="51E2DD2A">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本研究复现结果</w:t>
            </w:r>
          </w:p>
        </w:tc>
        <w:tc>
          <w:tcPr>
            <w:tcW w:w="0" w:type="auto"/>
            <w:tcBorders>
              <w:top w:val="single" w:color="000000" w:sz="12" w:space="0"/>
              <w:bottom w:val="single" w:color="000000" w:sz="4" w:space="0"/>
            </w:tcBorders>
            <w:shd w:val="clear" w:color="auto" w:fill="FFFFFF"/>
            <w:vAlign w:val="center"/>
          </w:tcPr>
          <w:p w14:paraId="32B507BA">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推论</w:t>
            </w:r>
          </w:p>
        </w:tc>
      </w:tr>
      <w:tr w14:paraId="4A2CD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color="auto" w:fill="FFFFFF"/>
            <w:vAlign w:val="center"/>
          </w:tcPr>
          <w:p w14:paraId="572F54E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Delayed: Guess 1 vs Guess 2</w:t>
            </w:r>
          </w:p>
        </w:tc>
        <w:tc>
          <w:tcPr>
            <w:tcW w:w="0" w:type="auto"/>
            <w:tcBorders>
              <w:top w:val="nil"/>
            </w:tcBorders>
            <w:shd w:val="clear" w:color="auto" w:fill="FFFFFF"/>
            <w:vAlign w:val="center"/>
          </w:tcPr>
          <w:p w14:paraId="0524998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第二次估计比第一次估计更不准确</w:t>
            </w:r>
          </w:p>
        </w:tc>
        <w:tc>
          <w:tcPr>
            <w:tcW w:w="0" w:type="auto"/>
            <w:tcBorders>
              <w:top w:val="nil"/>
            </w:tcBorders>
            <w:shd w:val="clear" w:color="auto" w:fill="FFFFFF"/>
            <w:vAlign w:val="center"/>
          </w:tcPr>
          <w:p w14:paraId="492A834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Guess 1 MSE = 517.43, Guess 2 MSE = 588.89, t(139) = -2.91, p = .004, dz = -0.25</w:t>
            </w:r>
          </w:p>
        </w:tc>
        <w:tc>
          <w:tcPr>
            <w:tcW w:w="0" w:type="auto"/>
            <w:tcBorders>
              <w:top w:val="nil"/>
            </w:tcBorders>
            <w:shd w:val="clear" w:color="auto" w:fill="FFFFFF"/>
            <w:vAlign w:val="center"/>
          </w:tcPr>
          <w:p w14:paraId="0BE76E3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支持原文结论</w:t>
            </w:r>
          </w:p>
        </w:tc>
      </w:tr>
      <w:tr w14:paraId="5F76F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375D9E1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Immediate: Guess 1 vs Guess 2</w:t>
            </w:r>
          </w:p>
        </w:tc>
        <w:tc>
          <w:tcPr>
            <w:tcW w:w="0" w:type="auto"/>
            <w:shd w:val="clear" w:color="auto" w:fill="FFFFFF"/>
            <w:vAlign w:val="center"/>
          </w:tcPr>
          <w:p w14:paraId="6D36EAB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第二次估计比第一次估计更不准确</w:t>
            </w:r>
          </w:p>
        </w:tc>
        <w:tc>
          <w:tcPr>
            <w:tcW w:w="0" w:type="auto"/>
            <w:shd w:val="clear" w:color="auto" w:fill="FFFFFF"/>
            <w:vAlign w:val="center"/>
          </w:tcPr>
          <w:p w14:paraId="5F2F046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Guess 1 MSE = 589.29, Guess 2 MSE = 614.92, t(470) = -2.25, p = .025, dz = -0.10</w:t>
            </w:r>
          </w:p>
        </w:tc>
        <w:tc>
          <w:tcPr>
            <w:tcW w:w="0" w:type="auto"/>
            <w:shd w:val="clear" w:color="auto" w:fill="FFFFFF"/>
            <w:vAlign w:val="center"/>
          </w:tcPr>
          <w:p w14:paraId="3FE9B74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支持原文结论</w:t>
            </w:r>
          </w:p>
        </w:tc>
      </w:tr>
      <w:tr w14:paraId="17681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vAlign w:val="center"/>
          </w:tcPr>
          <w:p w14:paraId="2F418D8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Averaging benefit based on Guess 1</w:t>
            </w:r>
          </w:p>
        </w:tc>
        <w:tc>
          <w:tcPr>
            <w:tcW w:w="0" w:type="auto"/>
            <w:shd w:val="clear" w:color="auto" w:fill="FFFFFF"/>
            <w:vAlign w:val="center"/>
          </w:tcPr>
          <w:p w14:paraId="065AE89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delayed 与 immediate 的差异不显著</w:t>
            </w:r>
          </w:p>
        </w:tc>
        <w:tc>
          <w:tcPr>
            <w:tcW w:w="0" w:type="auto"/>
            <w:shd w:val="clear" w:color="auto" w:fill="FFFFFF"/>
            <w:vAlign w:val="center"/>
          </w:tcPr>
          <w:p w14:paraId="5EB8E871">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Immediate benefit = 47.80, Delayed benefit = 49.97, t(609) = 0.18, p = .858, d = 0.02</w:t>
            </w:r>
          </w:p>
        </w:tc>
        <w:tc>
          <w:tcPr>
            <w:tcW w:w="0" w:type="auto"/>
            <w:shd w:val="clear" w:color="auto" w:fill="FFFFFF"/>
            <w:vAlign w:val="center"/>
          </w:tcPr>
          <w:p w14:paraId="321EB3D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支持原文结论</w:t>
            </w:r>
          </w:p>
        </w:tc>
      </w:tr>
      <w:tr w14:paraId="25750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000000" w:sz="12" w:space="0"/>
            </w:tcBorders>
            <w:shd w:val="clear" w:color="auto" w:fill="FFFFFF"/>
            <w:vAlign w:val="center"/>
          </w:tcPr>
          <w:p w14:paraId="6A3248E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Averaging benefit based on Guess 2</w:t>
            </w:r>
          </w:p>
        </w:tc>
        <w:tc>
          <w:tcPr>
            <w:tcW w:w="0" w:type="auto"/>
            <w:tcBorders>
              <w:bottom w:val="single" w:color="000000" w:sz="12" w:space="0"/>
            </w:tcBorders>
            <w:shd w:val="clear" w:color="auto" w:fill="FFFFFF"/>
            <w:vAlign w:val="center"/>
          </w:tcPr>
          <w:p w14:paraId="163E71A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delayed 的 averaging benefit 显著更大</w:t>
            </w:r>
          </w:p>
        </w:tc>
        <w:tc>
          <w:tcPr>
            <w:tcW w:w="0" w:type="auto"/>
            <w:tcBorders>
              <w:bottom w:val="single" w:color="000000" w:sz="12" w:space="0"/>
            </w:tcBorders>
            <w:shd w:val="clear" w:color="auto" w:fill="FFFFFF"/>
            <w:vAlign w:val="center"/>
          </w:tcPr>
          <w:p w14:paraId="04AC8BC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Immediate benefit = 73.43, Delayed benefit = 121.43, t(609) = 3.14, p = .002, d = 0.30</w:t>
            </w:r>
          </w:p>
        </w:tc>
        <w:tc>
          <w:tcPr>
            <w:tcW w:w="0" w:type="auto"/>
            <w:tcBorders>
              <w:bottom w:val="single" w:color="000000" w:sz="12" w:space="0"/>
            </w:tcBorders>
            <w:shd w:val="clear" w:color="auto" w:fill="FFFFFF"/>
            <w:vAlign w:val="center"/>
          </w:tcPr>
          <w:p w14:paraId="7861927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支持原文结论</w:t>
            </w:r>
          </w:p>
        </w:tc>
      </w:tr>
    </w:tbl>
    <w:p w14:paraId="288B2F9C">
      <w:pPr>
        <w:keepNext w:val="0"/>
        <w:keepLines w:val="0"/>
        <w:pageBreakBefore w:val="0"/>
        <w:widowControl w:val="0"/>
        <w:kinsoku/>
        <w:wordWrap/>
        <w:overflowPunct/>
        <w:topLinePunct w:val="0"/>
        <w:autoSpaceDE/>
        <w:autoSpaceDN/>
        <w:bidi w:val="0"/>
        <w:adjustRightInd/>
        <w:snapToGrid/>
        <w:spacing w:line="300" w:lineRule="auto"/>
        <w:ind w:firstLine="361" w:firstLineChars="200"/>
        <w:jc w:val="center"/>
        <w:textAlignment w:val="auto"/>
        <w:rPr>
          <w:rFonts w:hint="eastAsia" w:ascii="黑体" w:hAnsi="黑体" w:eastAsia="黑体" w:cs="黑体"/>
          <w:b/>
          <w:bCs/>
          <w:sz w:val="18"/>
          <w:szCs w:val="18"/>
        </w:rPr>
      </w:pPr>
    </w:p>
    <w:p w14:paraId="35DC804F">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对原文计算可复现性进行评估</w:t>
      </w:r>
    </w:p>
    <w:p w14:paraId="35DC8050">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3.3.1 使用与原文献相同方法</w:t>
      </w:r>
    </w:p>
    <w:p w14:paraId="35DC8051">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ascii="Times New Roman" w:hAnsi="Times New Roman" w:eastAsia="宋体" w:cs="Times New Roman"/>
          <w:sz w:val="21"/>
          <w:szCs w:val="21"/>
          <w14:ligatures w14:val="none"/>
        </w:rPr>
      </w:pPr>
      <w:r>
        <w:rPr>
          <w:rFonts w:ascii="宋体" w:hAnsi="宋体" w:eastAsia="宋体" w:cs="宋体"/>
          <w:sz w:val="21"/>
          <w:szCs w:val="21"/>
        </w:rPr>
        <w:t>本研究根据课程指南，对原文献报告的各类数值结果进行配对比较，包括样本量、均值、标准差、相关系数、t 值、自由度、p 值、效应量和置信区间等。对于每一项可比较数值，计算原文报告结果与本研究复现结果之间的百分误差，并根据 δ/PE 进行评级。</w:t>
      </w:r>
    </w:p>
    <w:p w14:paraId="35DC8052">
      <w:pPr>
        <w:spacing w:line="300" w:lineRule="auto"/>
        <w:jc w:val="center"/>
        <w:rPr>
          <w:rFonts w:hint="eastAsia"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结果可复现性的评估表</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00"/>
        <w:gridCol w:w="270"/>
        <w:gridCol w:w="495"/>
      </w:tblGrid>
      <w:tr w14:paraId="5716C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000000" w:sz="12" w:space="0"/>
              <w:bottom w:val="single" w:color="000000" w:sz="4" w:space="0"/>
              <w:tl2br w:val="nil"/>
            </w:tcBorders>
            <w:shd w:val="clear" w:color="auto" w:fill="FFFFFF"/>
            <w:vAlign w:val="center"/>
          </w:tcPr>
          <w:p w14:paraId="650D6075">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可复现性情况</w:t>
            </w:r>
          </w:p>
        </w:tc>
        <w:tc>
          <w:tcPr>
            <w:tcW w:w="0" w:type="auto"/>
            <w:tcBorders>
              <w:top w:val="single" w:color="000000" w:sz="12" w:space="0"/>
              <w:bottom w:val="single" w:color="000000" w:sz="4" w:space="0"/>
            </w:tcBorders>
            <w:shd w:val="clear" w:color="auto" w:fill="FFFFFF"/>
            <w:vAlign w:val="center"/>
          </w:tcPr>
          <w:p w14:paraId="5CB662F9">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N</w:t>
            </w:r>
          </w:p>
        </w:tc>
        <w:tc>
          <w:tcPr>
            <w:tcW w:w="0" w:type="auto"/>
            <w:tcBorders>
              <w:top w:val="single" w:color="000000" w:sz="12" w:space="0"/>
              <w:bottom w:val="single" w:color="000000" w:sz="4" w:space="0"/>
            </w:tcBorders>
            <w:shd w:val="clear" w:color="auto" w:fill="FFFFFF"/>
            <w:vAlign w:val="center"/>
          </w:tcPr>
          <w:p w14:paraId="033644B7">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w:t>
            </w:r>
          </w:p>
        </w:tc>
      </w:tr>
      <w:tr w14:paraId="116F7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nil"/>
            </w:tcBorders>
            <w:shd w:val="clear" w:color="auto" w:fill="FFFFFF"/>
            <w:vAlign w:val="center"/>
          </w:tcPr>
          <w:p w14:paraId="0076E3A5">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完全一致（δ = 0%）</w:t>
            </w:r>
          </w:p>
        </w:tc>
        <w:tc>
          <w:tcPr>
            <w:tcW w:w="0" w:type="auto"/>
            <w:tcBorders>
              <w:top w:val="nil"/>
            </w:tcBorders>
            <w:shd w:val="clear" w:color="auto" w:fill="FFFFFF"/>
            <w:vAlign w:val="center"/>
          </w:tcPr>
          <w:p w14:paraId="7A0626AE">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4</w:t>
            </w:r>
          </w:p>
        </w:tc>
        <w:tc>
          <w:tcPr>
            <w:tcW w:w="0" w:type="auto"/>
            <w:tcBorders>
              <w:top w:val="nil"/>
            </w:tcBorders>
            <w:shd w:val="clear" w:color="auto" w:fill="FFFFFF"/>
            <w:vAlign w:val="center"/>
          </w:tcPr>
          <w:p w14:paraId="411322D5">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10%</w:t>
            </w:r>
          </w:p>
        </w:tc>
      </w:tr>
      <w:tr w14:paraId="0BB3F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FFFFFF"/>
            <w:vAlign w:val="center"/>
          </w:tcPr>
          <w:p w14:paraId="424F5D5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偏差较小（0% &lt; δ &lt; 10%）</w:t>
            </w:r>
          </w:p>
        </w:tc>
        <w:tc>
          <w:tcPr>
            <w:tcW w:w="0" w:type="auto"/>
            <w:shd w:val="clear" w:color="auto" w:fill="FFFFFF"/>
            <w:vAlign w:val="center"/>
          </w:tcPr>
          <w:p w14:paraId="50E82A45">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36</w:t>
            </w:r>
          </w:p>
        </w:tc>
        <w:tc>
          <w:tcPr>
            <w:tcW w:w="0" w:type="auto"/>
            <w:shd w:val="clear" w:color="auto" w:fill="FFFFFF"/>
            <w:vAlign w:val="center"/>
          </w:tcPr>
          <w:p w14:paraId="61151706">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90%</w:t>
            </w:r>
          </w:p>
        </w:tc>
      </w:tr>
      <w:tr w14:paraId="4C4A7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6B014AFB">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偏差较大（δ ≥ 10%）</w:t>
            </w:r>
          </w:p>
        </w:tc>
        <w:tc>
          <w:tcPr>
            <w:tcW w:w="0" w:type="auto"/>
            <w:shd w:val="clear" w:color="auto" w:fill="FFFFFF"/>
            <w:vAlign w:val="center"/>
          </w:tcPr>
          <w:p w14:paraId="5202404C">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0</w:t>
            </w:r>
          </w:p>
        </w:tc>
        <w:tc>
          <w:tcPr>
            <w:tcW w:w="0" w:type="auto"/>
            <w:shd w:val="clear" w:color="auto" w:fill="FFFFFF"/>
            <w:vAlign w:val="center"/>
          </w:tcPr>
          <w:p w14:paraId="3BD2AC63">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0%</w:t>
            </w:r>
          </w:p>
        </w:tc>
      </w:tr>
      <w:tr w14:paraId="02B8B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FFFFFF"/>
            <w:vAlign w:val="center"/>
          </w:tcPr>
          <w:p w14:paraId="3C2E707B">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因舍入导致的偏差</w:t>
            </w:r>
          </w:p>
        </w:tc>
        <w:tc>
          <w:tcPr>
            <w:tcW w:w="0" w:type="auto"/>
            <w:shd w:val="clear" w:color="auto" w:fill="FFFFFF"/>
            <w:vAlign w:val="center"/>
          </w:tcPr>
          <w:p w14:paraId="2D2C13AB">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36</w:t>
            </w:r>
          </w:p>
        </w:tc>
        <w:tc>
          <w:tcPr>
            <w:tcW w:w="0" w:type="auto"/>
            <w:shd w:val="clear" w:color="auto" w:fill="FFFFFF"/>
            <w:vAlign w:val="center"/>
          </w:tcPr>
          <w:p w14:paraId="70EC2C38">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90%</w:t>
            </w:r>
          </w:p>
        </w:tc>
      </w:tr>
      <w:tr w14:paraId="47EED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FFFFFF"/>
            <w:vAlign w:val="center"/>
          </w:tcPr>
          <w:p w14:paraId="0D5198D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无法进行可重复检验</w:t>
            </w:r>
          </w:p>
        </w:tc>
        <w:tc>
          <w:tcPr>
            <w:tcW w:w="0" w:type="auto"/>
            <w:shd w:val="clear" w:color="auto" w:fill="FFFFFF"/>
            <w:vAlign w:val="center"/>
          </w:tcPr>
          <w:p w14:paraId="0A159626">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0</w:t>
            </w:r>
          </w:p>
        </w:tc>
        <w:tc>
          <w:tcPr>
            <w:tcW w:w="0" w:type="auto"/>
            <w:shd w:val="clear" w:color="auto" w:fill="FFFFFF"/>
            <w:vAlign w:val="center"/>
          </w:tcPr>
          <w:p w14:paraId="48A9CA9B">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0%</w:t>
            </w:r>
          </w:p>
        </w:tc>
      </w:tr>
      <w:tr w14:paraId="7BF6D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000000" w:sz="12" w:space="0"/>
            </w:tcBorders>
            <w:shd w:val="clear" w:color="auto" w:fill="FFFFFF"/>
            <w:vAlign w:val="center"/>
          </w:tcPr>
          <w:p w14:paraId="765672F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总计</w:t>
            </w:r>
          </w:p>
        </w:tc>
        <w:tc>
          <w:tcPr>
            <w:tcW w:w="0" w:type="auto"/>
            <w:tcBorders>
              <w:bottom w:val="single" w:color="000000" w:sz="12" w:space="0"/>
            </w:tcBorders>
            <w:shd w:val="clear" w:color="auto" w:fill="FFFFFF"/>
            <w:vAlign w:val="center"/>
          </w:tcPr>
          <w:p w14:paraId="386A462C">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40</w:t>
            </w:r>
          </w:p>
        </w:tc>
        <w:tc>
          <w:tcPr>
            <w:tcW w:w="0" w:type="auto"/>
            <w:tcBorders>
              <w:bottom w:val="single" w:color="000000" w:sz="12" w:space="0"/>
            </w:tcBorders>
            <w:shd w:val="clear" w:color="auto" w:fill="FFFFFF"/>
            <w:vAlign w:val="center"/>
          </w:tcPr>
          <w:p w14:paraId="506C9ED2">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100%</w:t>
            </w:r>
          </w:p>
        </w:tc>
      </w:tr>
    </w:tbl>
    <w:p w14:paraId="11608223">
      <w:pPr>
        <w:spacing w:line="300" w:lineRule="auto"/>
        <w:jc w:val="center"/>
        <w:rPr>
          <w:rFonts w:hint="eastAsia" w:ascii="Times New Roman" w:hAnsi="Times New Roman" w:eastAsia="黑体" w:cs="Times New Roman"/>
          <w:b/>
          <w:bCs/>
          <w:sz w:val="18"/>
          <w:szCs w:val="18"/>
          <w14:ligatures w14:val="none"/>
        </w:rPr>
      </w:pPr>
    </w:p>
    <w:p w14:paraId="305C617F">
      <w:pPr>
        <w:spacing w:line="300" w:lineRule="auto"/>
        <w:ind w:firstLine="361"/>
        <w:jc w:val="left"/>
        <w:rPr>
          <w:rFonts w:ascii="宋体" w:hAnsi="宋体" w:eastAsia="宋体" w:cs="宋体"/>
          <w:sz w:val="21"/>
          <w:szCs w:val="21"/>
        </w:rPr>
      </w:pPr>
      <w:r>
        <w:rPr>
          <w:rFonts w:ascii="宋体" w:hAnsi="宋体" w:eastAsia="宋体" w:cs="宋体"/>
          <w:sz w:val="21"/>
          <w:szCs w:val="21"/>
        </w:rPr>
        <w:t>结果显示，本研究共对 40 个原文献报告数值进行了计算可复现性检验。其中，4 个结果与原文完全一致，占 10%；36 个结果存在小于 10% 的次要偏差，占 90%；没有结果出现 δ ≥ 10% 的主要偏差，也没有无法进行可重复检验的结果。进一步检查发现，36 个存在微小偏差的数值主要来自原文报告时的四舍五入。例如，原文将 Immediate condition 中 Guess 1 MSE 报告为 589，而本研究使用 R 复现得到 589.29；原文将 Average MSE 报告为 541，而本研究得到 541.49。这类差异均不影响统计推论。</w:t>
      </w:r>
    </w:p>
    <w:p w14:paraId="35DC806B">
      <w:pPr>
        <w:spacing w:line="300" w:lineRule="auto"/>
        <w:ind w:firstLine="361"/>
        <w:jc w:val="center"/>
        <w:rPr>
          <w:rFonts w:hint="eastAsia"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8</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5"/>
        <w:gridCol w:w="165"/>
        <w:gridCol w:w="495"/>
      </w:tblGrid>
      <w:tr w14:paraId="50157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000000" w:sz="12" w:space="0"/>
              <w:bottom w:val="single" w:color="000000" w:sz="4" w:space="0"/>
              <w:tl2br w:val="nil"/>
            </w:tcBorders>
            <w:shd w:val="clear" w:color="auto" w:fill="FFFFFF"/>
            <w:vAlign w:val="center"/>
          </w:tcPr>
          <w:p w14:paraId="4B7617CB">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推论一致性</w:t>
            </w:r>
          </w:p>
        </w:tc>
        <w:tc>
          <w:tcPr>
            <w:tcW w:w="0" w:type="auto"/>
            <w:tcBorders>
              <w:top w:val="single" w:color="000000" w:sz="12" w:space="0"/>
              <w:bottom w:val="single" w:color="000000" w:sz="4" w:space="0"/>
            </w:tcBorders>
            <w:shd w:val="clear" w:color="auto" w:fill="FFFFFF"/>
            <w:vAlign w:val="center"/>
          </w:tcPr>
          <w:p w14:paraId="65A42491">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N</w:t>
            </w:r>
          </w:p>
        </w:tc>
        <w:tc>
          <w:tcPr>
            <w:tcW w:w="0" w:type="auto"/>
            <w:tcBorders>
              <w:top w:val="single" w:color="000000" w:sz="12" w:space="0"/>
              <w:bottom w:val="single" w:color="000000" w:sz="4" w:space="0"/>
            </w:tcBorders>
            <w:shd w:val="clear" w:color="auto" w:fill="FFFFFF"/>
            <w:vAlign w:val="center"/>
          </w:tcPr>
          <w:p w14:paraId="12022798">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w:t>
            </w:r>
          </w:p>
        </w:tc>
      </w:tr>
      <w:tr w14:paraId="49979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nil"/>
            </w:tcBorders>
            <w:shd w:val="clear" w:color="auto" w:fill="FFFFFF"/>
            <w:vAlign w:val="center"/>
          </w:tcPr>
          <w:p w14:paraId="52E2FA13">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一致</w:t>
            </w:r>
          </w:p>
        </w:tc>
        <w:tc>
          <w:tcPr>
            <w:tcW w:w="0" w:type="auto"/>
            <w:tcBorders>
              <w:top w:val="nil"/>
            </w:tcBorders>
            <w:shd w:val="clear" w:color="auto" w:fill="FFFFFF"/>
            <w:vAlign w:val="center"/>
          </w:tcPr>
          <w:p w14:paraId="122F34D6">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4</w:t>
            </w:r>
          </w:p>
        </w:tc>
        <w:tc>
          <w:tcPr>
            <w:tcW w:w="0" w:type="auto"/>
            <w:tcBorders>
              <w:top w:val="nil"/>
            </w:tcBorders>
            <w:shd w:val="clear" w:color="auto" w:fill="FFFFFF"/>
            <w:vAlign w:val="center"/>
          </w:tcPr>
          <w:p w14:paraId="44C21D1D">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100%</w:t>
            </w:r>
          </w:p>
        </w:tc>
      </w:tr>
      <w:tr w14:paraId="202C0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shd w:val="clear" w:color="auto" w:fill="FFFFFF"/>
            <w:vAlign w:val="center"/>
          </w:tcPr>
          <w:p w14:paraId="04073086">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不一致</w:t>
            </w:r>
          </w:p>
        </w:tc>
        <w:tc>
          <w:tcPr>
            <w:tcW w:w="0" w:type="auto"/>
            <w:shd w:val="clear" w:color="auto" w:fill="FFFFFF"/>
            <w:vAlign w:val="center"/>
          </w:tcPr>
          <w:p w14:paraId="4797B7AA">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0</w:t>
            </w:r>
          </w:p>
        </w:tc>
        <w:tc>
          <w:tcPr>
            <w:tcW w:w="0" w:type="auto"/>
            <w:shd w:val="clear" w:color="auto" w:fill="FFFFFF"/>
            <w:vAlign w:val="center"/>
          </w:tcPr>
          <w:p w14:paraId="0C143184">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0%</w:t>
            </w:r>
          </w:p>
        </w:tc>
      </w:tr>
      <w:tr w14:paraId="0DD92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000000" w:sz="12" w:space="0"/>
            </w:tcBorders>
            <w:shd w:val="clear" w:color="auto" w:fill="FFFFFF"/>
            <w:vAlign w:val="center"/>
          </w:tcPr>
          <w:p w14:paraId="0B83AEF0">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总计</w:t>
            </w:r>
          </w:p>
        </w:tc>
        <w:tc>
          <w:tcPr>
            <w:tcW w:w="0" w:type="auto"/>
            <w:tcBorders>
              <w:bottom w:val="single" w:color="000000" w:sz="12" w:space="0"/>
            </w:tcBorders>
            <w:shd w:val="clear" w:color="auto" w:fill="FFFFFF"/>
            <w:vAlign w:val="center"/>
          </w:tcPr>
          <w:p w14:paraId="30AC4E12">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4</w:t>
            </w:r>
          </w:p>
        </w:tc>
        <w:tc>
          <w:tcPr>
            <w:tcW w:w="0" w:type="auto"/>
            <w:tcBorders>
              <w:bottom w:val="single" w:color="000000" w:sz="12" w:space="0"/>
            </w:tcBorders>
            <w:shd w:val="clear" w:color="auto" w:fill="FFFFFF"/>
            <w:vAlign w:val="center"/>
          </w:tcPr>
          <w:p w14:paraId="5FCA39C0">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100%</w:t>
            </w:r>
          </w:p>
        </w:tc>
      </w:tr>
    </w:tbl>
    <w:p w14:paraId="35DC807C">
      <w:pPr>
        <w:spacing w:line="300" w:lineRule="auto"/>
        <w:ind w:firstLine="361"/>
        <w:jc w:val="left"/>
        <w:rPr>
          <w:rFonts w:ascii="Times New Roman" w:hAnsi="Times New Roman" w:eastAsia="宋体" w:cs="Times New Roman"/>
          <w:szCs w:val="24"/>
          <w14:ligatures w14:val="none"/>
        </w:rPr>
      </w:pPr>
      <w:r>
        <w:rPr>
          <w:rFonts w:ascii="宋体" w:hAnsi="宋体" w:eastAsia="宋体" w:cs="宋体"/>
          <w:sz w:val="21"/>
          <w:szCs w:val="21"/>
        </w:rPr>
        <w:t>四个核心推论均与原文一致。具体而言，Immediate condition 中 Average MSE 显著低于 Guess 1 MSE 和 Guess 2 MSE；Delayed condition 中 Average MSE 也显著低于 Guess 1 MSE 和 Guess 2 MSE。因此，基于原文献方法的计算可复现性检验支持 Steegen 等人（2014）的核心结论。</w:t>
      </w:r>
    </w:p>
    <w:p w14:paraId="35DC807E">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3.3.2 使用与原文献不同方法</w:t>
      </w:r>
    </w:p>
    <w:p w14:paraId="0C1F057F">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本研究进一步将双尾精确 p 值和 Bayes factor 作为补充检验，用于评价核心推论的稳健性。由于 Steegen 等人（2014）本身也报告了 Bayes factor，因此该部分更准确地说是对原文贝叶斯结果的复核与补充呈现，而不是采用完全不同的统计模型。</w:t>
      </w:r>
    </w:p>
    <w:p w14:paraId="35DC8080">
      <w:pPr>
        <w:keepNext w:val="0"/>
        <w:keepLines w:val="0"/>
        <w:pageBreakBefore w:val="0"/>
        <w:widowControl w:val="0"/>
        <w:kinsoku/>
        <w:wordWrap/>
        <w:overflowPunct/>
        <w:topLinePunct w:val="0"/>
        <w:autoSpaceDE/>
        <w:autoSpaceDN/>
        <w:bidi w:val="0"/>
        <w:adjustRightInd/>
        <w:snapToGrid/>
        <w:spacing w:line="300" w:lineRule="auto"/>
        <w:ind w:firstLine="361" w:firstLineChars="200"/>
        <w:jc w:val="center"/>
        <w:textAlignment w:val="auto"/>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9</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推论的一致性的评估表(创新方法)</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5"/>
        <w:gridCol w:w="165"/>
        <w:gridCol w:w="495"/>
      </w:tblGrid>
      <w:tr w14:paraId="33D85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0" w:type="auto"/>
            <w:tcBorders>
              <w:top w:val="single" w:color="000000" w:sz="12" w:space="0"/>
              <w:bottom w:val="single" w:color="000000" w:sz="4" w:space="0"/>
              <w:tl2br w:val="nil"/>
            </w:tcBorders>
            <w:shd w:val="clear" w:color="auto" w:fill="FFFFFF"/>
            <w:vAlign w:val="center"/>
          </w:tcPr>
          <w:p w14:paraId="4F66DEA5">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推论一致性</w:t>
            </w:r>
          </w:p>
        </w:tc>
        <w:tc>
          <w:tcPr>
            <w:tcW w:w="0" w:type="auto"/>
            <w:tcBorders>
              <w:top w:val="single" w:color="000000" w:sz="12" w:space="0"/>
              <w:bottom w:val="single" w:color="000000" w:sz="4" w:space="0"/>
            </w:tcBorders>
            <w:shd w:val="clear" w:color="auto" w:fill="FFFFFF"/>
            <w:vAlign w:val="center"/>
          </w:tcPr>
          <w:p w14:paraId="44918E62">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N</w:t>
            </w:r>
          </w:p>
        </w:tc>
        <w:tc>
          <w:tcPr>
            <w:tcW w:w="0" w:type="auto"/>
            <w:tcBorders>
              <w:top w:val="single" w:color="000000" w:sz="12" w:space="0"/>
              <w:bottom w:val="single" w:color="000000" w:sz="4" w:space="0"/>
            </w:tcBorders>
            <w:shd w:val="clear" w:color="auto" w:fill="FFFFFF"/>
            <w:vAlign w:val="center"/>
          </w:tcPr>
          <w:p w14:paraId="4937EDFA">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w:t>
            </w:r>
          </w:p>
        </w:tc>
      </w:tr>
      <w:tr w14:paraId="2CA4A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nil"/>
            </w:tcBorders>
            <w:shd w:val="clear" w:color="auto" w:fill="FFFFFF"/>
            <w:vAlign w:val="center"/>
          </w:tcPr>
          <w:p w14:paraId="21F5CB9B">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一致</w:t>
            </w:r>
          </w:p>
        </w:tc>
        <w:tc>
          <w:tcPr>
            <w:tcW w:w="0" w:type="auto"/>
            <w:tcBorders>
              <w:top w:val="nil"/>
            </w:tcBorders>
            <w:shd w:val="clear" w:color="auto" w:fill="FFFFFF"/>
            <w:vAlign w:val="center"/>
          </w:tcPr>
          <w:p w14:paraId="7DC44CFA">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8</w:t>
            </w:r>
          </w:p>
        </w:tc>
        <w:tc>
          <w:tcPr>
            <w:tcW w:w="0" w:type="auto"/>
            <w:tcBorders>
              <w:top w:val="nil"/>
            </w:tcBorders>
            <w:shd w:val="clear" w:color="auto" w:fill="FFFFFF"/>
            <w:vAlign w:val="center"/>
          </w:tcPr>
          <w:p w14:paraId="5854F7C0">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100%</w:t>
            </w:r>
          </w:p>
        </w:tc>
      </w:tr>
      <w:tr w14:paraId="11ACA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44FB7069">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不一致</w:t>
            </w:r>
          </w:p>
        </w:tc>
        <w:tc>
          <w:tcPr>
            <w:tcW w:w="0" w:type="auto"/>
            <w:shd w:val="clear" w:color="auto" w:fill="FFFFFF"/>
            <w:vAlign w:val="center"/>
          </w:tcPr>
          <w:p w14:paraId="6EC5AD39">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0</w:t>
            </w:r>
          </w:p>
        </w:tc>
        <w:tc>
          <w:tcPr>
            <w:tcW w:w="0" w:type="auto"/>
            <w:shd w:val="clear" w:color="auto" w:fill="FFFFFF"/>
            <w:vAlign w:val="center"/>
          </w:tcPr>
          <w:p w14:paraId="230829D1">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0%</w:t>
            </w:r>
          </w:p>
        </w:tc>
      </w:tr>
      <w:tr w14:paraId="4A875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000000" w:sz="12" w:space="0"/>
            </w:tcBorders>
            <w:shd w:val="clear" w:color="auto" w:fill="FFFFFF"/>
            <w:vAlign w:val="center"/>
          </w:tcPr>
          <w:p w14:paraId="10F8B2AA">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总计</w:t>
            </w:r>
          </w:p>
        </w:tc>
        <w:tc>
          <w:tcPr>
            <w:tcW w:w="0" w:type="auto"/>
            <w:tcBorders>
              <w:bottom w:val="single" w:color="000000" w:sz="12" w:space="0"/>
            </w:tcBorders>
            <w:shd w:val="clear" w:color="auto" w:fill="FFFFFF"/>
            <w:vAlign w:val="center"/>
          </w:tcPr>
          <w:p w14:paraId="4B322282">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8</w:t>
            </w:r>
          </w:p>
        </w:tc>
        <w:tc>
          <w:tcPr>
            <w:tcW w:w="0" w:type="auto"/>
            <w:tcBorders>
              <w:bottom w:val="single" w:color="000000" w:sz="12" w:space="0"/>
            </w:tcBorders>
            <w:shd w:val="clear" w:color="auto" w:fill="FFFFFF"/>
            <w:vAlign w:val="center"/>
          </w:tcPr>
          <w:p w14:paraId="52A175E0">
            <w:pPr>
              <w:keepNext w:val="0"/>
              <w:keepLines w:val="0"/>
              <w:widowControl/>
              <w:suppressLineNumbers w:val="0"/>
              <w:jc w:val="righ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100%</w:t>
            </w:r>
          </w:p>
        </w:tc>
      </w:tr>
    </w:tbl>
    <w:p w14:paraId="35DC8092">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5B2879B5">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宋体" w:hAnsi="宋体" w:eastAsia="宋体" w:cs="宋体"/>
          <w:szCs w:val="24"/>
          <w14:ligatures w14:val="none"/>
        </w:rPr>
      </w:pPr>
      <w:r>
        <w:rPr>
          <w:rFonts w:hint="eastAsia" w:ascii="宋体" w:hAnsi="宋体" w:eastAsia="宋体" w:cs="宋体"/>
          <w:szCs w:val="24"/>
          <w14:ligatures w14:val="none"/>
        </w:rPr>
        <w:t>本研究对 Steegen 等人（2014）关于 crowd within 效应的核心统计结果进行了计算可复现性检验。总体来看，该文献具有较高的计算可复现性。本研究使用公开数据重新进行数据清洗、变量计算、描述性统计和推断性统计后，成功复现了 immediate condition 和 delayed condition 中的四个核心比较。所有核心推论均与原文一致，即两次估计平均值的 MSE 显著低于单次估计 MSE，支持 crowd within 效应。</w:t>
      </w:r>
    </w:p>
    <w:p w14:paraId="35DC8095">
      <w:pPr>
        <w:spacing w:line="300" w:lineRule="auto"/>
        <w:jc w:val="center"/>
        <w:rPr>
          <w:rFonts w:hint="eastAsia"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10</w:t>
      </w:r>
      <w:r>
        <w:rPr>
          <w:rFonts w:hint="eastAsia" w:ascii="Times New Roman" w:hAnsi="Times New Roman" w:eastAsia="黑体" w:cs="Times New Roman"/>
          <w:b/>
          <w:bCs/>
          <w:sz w:val="18"/>
          <w:szCs w:val="18"/>
          <w14:ligatures w14:val="none"/>
        </w:rPr>
        <w:t xml:space="preserve"> 计算上（不）可重复的原因分析表</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1"/>
        <w:gridCol w:w="5918"/>
        <w:gridCol w:w="1557"/>
      </w:tblGrid>
      <w:tr w14:paraId="2CEB3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000000" w:sz="12" w:space="0"/>
              <w:bottom w:val="single" w:color="000000" w:sz="4" w:space="0"/>
              <w:tl2br w:val="nil"/>
            </w:tcBorders>
            <w:shd w:val="clear" w:color="auto" w:fill="FFFFFF"/>
            <w:vAlign w:val="center"/>
          </w:tcPr>
          <w:p w14:paraId="3B4EA2A2">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可能原因</w:t>
            </w:r>
          </w:p>
        </w:tc>
        <w:tc>
          <w:tcPr>
            <w:tcW w:w="0" w:type="auto"/>
            <w:tcBorders>
              <w:top w:val="single" w:color="000000" w:sz="12" w:space="0"/>
              <w:bottom w:val="single" w:color="000000" w:sz="4" w:space="0"/>
            </w:tcBorders>
            <w:shd w:val="clear" w:color="auto" w:fill="FFFFFF"/>
            <w:vAlign w:val="center"/>
          </w:tcPr>
          <w:p w14:paraId="686E3453">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本研究中的情况</w:t>
            </w:r>
          </w:p>
        </w:tc>
        <w:tc>
          <w:tcPr>
            <w:tcW w:w="0" w:type="auto"/>
            <w:tcBorders>
              <w:top w:val="single" w:color="000000" w:sz="12" w:space="0"/>
              <w:bottom w:val="single" w:color="000000" w:sz="4" w:space="0"/>
            </w:tcBorders>
            <w:shd w:val="clear" w:color="auto" w:fill="FFFFFF"/>
            <w:vAlign w:val="center"/>
          </w:tcPr>
          <w:p w14:paraId="0CE628D1">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14:ligatures w14:val="standardContextual"/>
              </w:rPr>
              <w:t>对可复现性的影响</w:t>
            </w:r>
          </w:p>
        </w:tc>
      </w:tr>
      <w:tr w14:paraId="665A4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nil"/>
            </w:tcBorders>
            <w:shd w:val="clear" w:color="auto" w:fill="FFFFFF"/>
            <w:vAlign w:val="center"/>
          </w:tcPr>
          <w:p w14:paraId="34A6885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一般性开放获取问题</w:t>
            </w:r>
          </w:p>
        </w:tc>
        <w:tc>
          <w:tcPr>
            <w:tcW w:w="0" w:type="auto"/>
            <w:tcBorders>
              <w:top w:val="nil"/>
            </w:tcBorders>
            <w:shd w:val="clear" w:color="auto" w:fill="FFFFFF"/>
            <w:vAlign w:val="center"/>
          </w:tcPr>
          <w:p w14:paraId="462B6A2D">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Steegen 等人（2014）公开了实验方案、原始数据、处理后数据和分析代码。原文摘要中明确说明 experimental protocol、raw data、post-processed data 和 analysis code 均可在线获取。</w:t>
            </w:r>
          </w:p>
        </w:tc>
        <w:tc>
          <w:tcPr>
            <w:tcW w:w="0" w:type="auto"/>
            <w:tcBorders>
              <w:top w:val="nil"/>
            </w:tcBorders>
            <w:shd w:val="clear" w:color="auto" w:fill="FFFFFF"/>
            <w:vAlign w:val="center"/>
          </w:tcPr>
          <w:p w14:paraId="22CAFCD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有利于计算可复现性</w:t>
            </w:r>
          </w:p>
        </w:tc>
      </w:tr>
      <w:tr w14:paraId="06198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1170FC6A">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OSF 开放获取问题</w:t>
            </w:r>
          </w:p>
        </w:tc>
        <w:tc>
          <w:tcPr>
            <w:tcW w:w="0" w:type="auto"/>
            <w:shd w:val="clear" w:color="auto" w:fill="FFFFFF"/>
            <w:vAlign w:val="center"/>
          </w:tcPr>
          <w:p w14:paraId="7BB42EE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数据和代码存放于 OSF，且原文结果部分说明 raw data、post-processed data 和 Matlab scripts 均可在 OSF 获得。</w:t>
            </w:r>
          </w:p>
        </w:tc>
        <w:tc>
          <w:tcPr>
            <w:tcW w:w="0" w:type="auto"/>
            <w:shd w:val="clear" w:color="auto" w:fill="FFFFFF"/>
            <w:vAlign w:val="center"/>
          </w:tcPr>
          <w:p w14:paraId="62B5806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有利于复现</w:t>
            </w:r>
          </w:p>
        </w:tc>
      </w:tr>
      <w:tr w14:paraId="3DCD6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3B53EBB7">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数据开放获取问题</w:t>
            </w:r>
          </w:p>
        </w:tc>
        <w:tc>
          <w:tcPr>
            <w:tcW w:w="0" w:type="auto"/>
            <w:shd w:val="clear" w:color="auto" w:fill="FFFFFF"/>
            <w:vAlign w:val="center"/>
          </w:tcPr>
          <w:p w14:paraId="5F29E8BF">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本研究能够获得 immediate condition 和 delayed condition 的公开数据，并按照原文清洗流程重新处理。</w:t>
            </w:r>
          </w:p>
        </w:tc>
        <w:tc>
          <w:tcPr>
            <w:tcW w:w="0" w:type="auto"/>
            <w:shd w:val="clear" w:color="auto" w:fill="FFFFFF"/>
            <w:vAlign w:val="center"/>
          </w:tcPr>
          <w:p w14:paraId="677A6B4F">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有利于复现</w:t>
            </w:r>
          </w:p>
        </w:tc>
      </w:tr>
      <w:tr w14:paraId="056C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413ECF0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代码开放获取问题</w:t>
            </w:r>
          </w:p>
        </w:tc>
        <w:tc>
          <w:tcPr>
            <w:tcW w:w="0" w:type="auto"/>
            <w:shd w:val="clear" w:color="auto" w:fill="FFFFFF"/>
            <w:vAlign w:val="center"/>
          </w:tcPr>
          <w:p w14:paraId="56F670AB">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原文提供 Matlab 分析脚本；本研究使用 R 语言重新实现相同统计思路。</w:t>
            </w:r>
          </w:p>
        </w:tc>
        <w:tc>
          <w:tcPr>
            <w:tcW w:w="0" w:type="auto"/>
            <w:shd w:val="clear" w:color="auto" w:fill="FFFFFF"/>
            <w:vAlign w:val="center"/>
          </w:tcPr>
          <w:p w14:paraId="472987AB">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可能带来软件差异，但未造成实质性结果差异</w:t>
            </w:r>
          </w:p>
        </w:tc>
      </w:tr>
      <w:tr w14:paraId="35BF7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5D595B1D">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是否使用同样数据集</w:t>
            </w:r>
          </w:p>
        </w:tc>
        <w:tc>
          <w:tcPr>
            <w:tcW w:w="0" w:type="auto"/>
            <w:shd w:val="clear" w:color="auto" w:fill="FFFFFF"/>
            <w:vAlign w:val="center"/>
          </w:tcPr>
          <w:p w14:paraId="25529A07">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本研究以 Steegen 等人（2014）公开数据为直接对象，未在原文标准之外额外修改样本。</w:t>
            </w:r>
          </w:p>
        </w:tc>
        <w:tc>
          <w:tcPr>
            <w:tcW w:w="0" w:type="auto"/>
            <w:shd w:val="clear" w:color="auto" w:fill="FFFFFF"/>
            <w:vAlign w:val="center"/>
          </w:tcPr>
          <w:p w14:paraId="3DBC76C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有利于复现</w:t>
            </w:r>
          </w:p>
        </w:tc>
      </w:tr>
      <w:tr w14:paraId="458A1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36BA74B3">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是否使用同样分析方法</w:t>
            </w:r>
          </w:p>
        </w:tc>
        <w:tc>
          <w:tcPr>
            <w:tcW w:w="0" w:type="auto"/>
            <w:shd w:val="clear" w:color="auto" w:fill="FFFFFF"/>
            <w:vAlign w:val="center"/>
          </w:tcPr>
          <w:p w14:paraId="0528B00D">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本研究复现了原文的 MSE 计算、配对 t 检验、效应量和置信区间核对，并补充 Bayes factor 复核。</w:t>
            </w:r>
          </w:p>
        </w:tc>
        <w:tc>
          <w:tcPr>
            <w:tcW w:w="0" w:type="auto"/>
            <w:shd w:val="clear" w:color="auto" w:fill="FFFFFF"/>
            <w:vAlign w:val="center"/>
          </w:tcPr>
          <w:p w14:paraId="4993B94C">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有利于复现</w:t>
            </w:r>
          </w:p>
        </w:tc>
      </w:tr>
      <w:tr w14:paraId="62C9E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1B81F163">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软件包或软件版本问题</w:t>
            </w:r>
          </w:p>
        </w:tc>
        <w:tc>
          <w:tcPr>
            <w:tcW w:w="0" w:type="auto"/>
            <w:shd w:val="clear" w:color="auto" w:fill="FFFFFF"/>
            <w:vAlign w:val="center"/>
          </w:tcPr>
          <w:p w14:paraId="0729F52F">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原文主要使用 Matlab 和 SPSS 进行分析，本研究使用 R 语言复现。不同软件可能导致小数精度和输出格式差异。</w:t>
            </w:r>
          </w:p>
        </w:tc>
        <w:tc>
          <w:tcPr>
            <w:tcW w:w="0" w:type="auto"/>
            <w:shd w:val="clear" w:color="auto" w:fill="FFFFFF"/>
            <w:vAlign w:val="center"/>
          </w:tcPr>
          <w:p w14:paraId="08848375">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造成轻微数值差异，但不影响推论</w:t>
            </w:r>
          </w:p>
        </w:tc>
      </w:tr>
      <w:tr w14:paraId="3C4E8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34640F44">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文章文本报告精度问题</w:t>
            </w:r>
          </w:p>
        </w:tc>
        <w:tc>
          <w:tcPr>
            <w:tcW w:w="0" w:type="auto"/>
            <w:shd w:val="clear" w:color="auto" w:fill="FFFFFF"/>
            <w:vAlign w:val="center"/>
          </w:tcPr>
          <w:p w14:paraId="19DAC91B">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原文多数结果仅报告整数、两位小数或 p &lt; .001，本研究使用完整小数计算 PE。</w:t>
            </w:r>
          </w:p>
        </w:tc>
        <w:tc>
          <w:tcPr>
            <w:tcW w:w="0" w:type="auto"/>
            <w:shd w:val="clear" w:color="auto" w:fill="FFFFFF"/>
            <w:vAlign w:val="center"/>
          </w:tcPr>
          <w:p w14:paraId="3EFC7BB7">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是本研究中微小偏差的主要来源</w:t>
            </w:r>
          </w:p>
        </w:tc>
      </w:tr>
      <w:tr w14:paraId="64853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color="auto" w:fill="FFFFFF"/>
            <w:vAlign w:val="center"/>
          </w:tcPr>
          <w:p w14:paraId="09026582">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复现者相关因素</w:t>
            </w:r>
          </w:p>
        </w:tc>
        <w:tc>
          <w:tcPr>
            <w:tcW w:w="0" w:type="auto"/>
            <w:shd w:val="clear" w:color="auto" w:fill="FFFFFF"/>
            <w:vAlign w:val="center"/>
          </w:tcPr>
          <w:p w14:paraId="650F94DB">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本研究在理解数据清洗变量、MSE 计算、BF01/BF10 方向时需要额外核对原文。</w:t>
            </w:r>
          </w:p>
        </w:tc>
        <w:tc>
          <w:tcPr>
            <w:tcW w:w="0" w:type="auto"/>
            <w:shd w:val="clear" w:color="auto" w:fill="FFFFFF"/>
            <w:vAlign w:val="center"/>
          </w:tcPr>
          <w:p w14:paraId="00A5D92A">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可能增加操作难度，但最终未导致结果不可复现</w:t>
            </w:r>
          </w:p>
        </w:tc>
      </w:tr>
      <w:tr w14:paraId="1129E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000000" w:sz="12" w:space="0"/>
            </w:tcBorders>
            <w:shd w:val="clear" w:color="auto" w:fill="FFFFFF"/>
            <w:vAlign w:val="center"/>
          </w:tcPr>
          <w:p w14:paraId="068A153E">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文献质量和开放科学背景</w:t>
            </w:r>
          </w:p>
        </w:tc>
        <w:tc>
          <w:tcPr>
            <w:tcW w:w="0" w:type="auto"/>
            <w:tcBorders>
              <w:bottom w:val="single" w:color="000000" w:sz="12" w:space="0"/>
            </w:tcBorders>
            <w:shd w:val="clear" w:color="auto" w:fill="FFFFFF"/>
            <w:vAlign w:val="center"/>
          </w:tcPr>
          <w:p w14:paraId="579107C8">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Steegen 等人（2014）为预注册复现研究，并采用 co-pilot approach，即两名研究者独立使用不同软件处理和分析数据。</w:t>
            </w:r>
          </w:p>
        </w:tc>
        <w:tc>
          <w:tcPr>
            <w:tcW w:w="0" w:type="auto"/>
            <w:tcBorders>
              <w:bottom w:val="single" w:color="000000" w:sz="12" w:space="0"/>
            </w:tcBorders>
            <w:shd w:val="clear" w:color="auto" w:fill="FFFFFF"/>
            <w:vAlign w:val="center"/>
          </w:tcPr>
          <w:p w14:paraId="7D5C7F8A">
            <w:pPr>
              <w:keepNext w:val="0"/>
              <w:keepLines w:val="0"/>
              <w:widowControl/>
              <w:suppressLineNumbers w:val="0"/>
              <w:jc w:val="left"/>
              <w:rPr>
                <w:b w:val="0"/>
                <w:color w:val="000000"/>
                <w:sz w:val="21"/>
                <w:szCs w:val="21"/>
              </w:rPr>
            </w:pPr>
            <w:r>
              <w:rPr>
                <w:rFonts w:ascii="宋体" w:hAnsi="宋体" w:eastAsia="宋体" w:cs="宋体"/>
                <w:b w:val="0"/>
                <w:color w:val="000000"/>
                <w:kern w:val="0"/>
                <w:sz w:val="21"/>
                <w:szCs w:val="21"/>
                <w:lang w:val="en-US" w:eastAsia="zh-CN" w:bidi="ar"/>
                <w14:ligatures w14:val="standardContextual"/>
              </w:rPr>
              <w:t>明显提高结果可信度和可复现性</w:t>
            </w:r>
          </w:p>
        </w:tc>
      </w:tr>
    </w:tbl>
    <w:p w14:paraId="203DA9A6">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宋体" w:hAnsi="宋体" w:eastAsia="宋体" w:cs="宋体"/>
          <w:b w:val="0"/>
          <w:bCs w:val="0"/>
          <w:szCs w:val="24"/>
          <w14:ligatures w14:val="none"/>
        </w:rPr>
      </w:pPr>
      <w:r>
        <w:rPr>
          <w:rFonts w:hint="eastAsia" w:ascii="宋体" w:hAnsi="宋体" w:eastAsia="宋体" w:cs="宋体"/>
          <w:b w:val="0"/>
          <w:bCs w:val="0"/>
          <w:szCs w:val="24"/>
          <w14:ligatures w14:val="none"/>
        </w:rPr>
        <w:t>本研究中未发现实质性不可复现结果。多数偏差属于小于 10% 的次要偏差，并且几乎都可以归因于原文数值报告的四舍五入。例如，原文为了呈现简洁，将 MSE 均值和标准差报告为整数，将效应量报告为两位小数，将 p 值报告为 p &lt; .001；而本研究使用 R 输出的完整数值计算百分误差。因此，这些偏差并不表示分析过程或统计结论存在问题。</w:t>
      </w:r>
    </w:p>
    <w:p w14:paraId="0730FF04">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宋体" w:hAnsi="宋体" w:eastAsia="宋体" w:cs="宋体"/>
          <w:b w:val="0"/>
          <w:bCs w:val="0"/>
          <w:szCs w:val="24"/>
          <w14:ligatures w14:val="none"/>
        </w:rPr>
      </w:pPr>
      <w:r>
        <w:rPr>
          <w:rFonts w:hint="eastAsia" w:ascii="宋体" w:hAnsi="宋体" w:eastAsia="宋体" w:cs="宋体"/>
          <w:b w:val="0"/>
          <w:bCs w:val="0"/>
          <w:szCs w:val="24"/>
          <w14:ligatures w14:val="none"/>
        </w:rPr>
        <w:t>此外，Steegen 等人（2014）本身作为预注册复现研究，具有较高的开放性和透明度。该研究在数据收集前注册研究计划，明确样本量规划、数据清洗方案和确认性分析计划，并公开数据与代码。这些特点均有助于提高其计算可复现性。原文还采用了 co-pilot approach，即由两名研究者分别使用不同软件独立处理和分析数据，并报告两种分析结果一致，这进一步降低了单一分析者操作错误导致结果偏差的可能性。</w:t>
      </w:r>
    </w:p>
    <w:p w14:paraId="5AC16387">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宋体" w:hAnsi="宋体" w:eastAsia="宋体" w:cs="宋体"/>
          <w:b w:val="0"/>
          <w:bCs w:val="0"/>
          <w:szCs w:val="24"/>
          <w14:ligatures w14:val="none"/>
        </w:rPr>
      </w:pPr>
      <w:r>
        <w:rPr>
          <w:rFonts w:hint="eastAsia" w:ascii="宋体" w:hAnsi="宋体" w:eastAsia="宋体" w:cs="宋体"/>
          <w:b w:val="0"/>
          <w:bCs w:val="0"/>
          <w:szCs w:val="24"/>
          <w14:ligatures w14:val="none"/>
        </w:rPr>
        <w:t>需要注意的是，本报告直接复现的是 Steegen 等人（2014）的计算结果，而不是 Vul 与 Pashler（2008）原始实验的全部统计过程。Steegen 等人（2014）虽然复现了 Vul 与 Pashler（2008）的研究假设，但其样本、语言材料和部分标准答案与原研究不同。原文明确指出，该复现研究将原始问题翻译为荷兰语，并更新了部分题目的答案；同时，复现样本为本科心理学学生，而原始研究样本来自互联网被试。 因此，本报告的结论应限定为：Steegen 等人（2014）公开数据与分析结果具有较高计算可复现性，而不是说 2008 年和 2014 年两批数据完全一致。</w:t>
      </w:r>
    </w:p>
    <w:p w14:paraId="35DC813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4BD47B8B">
      <w:pPr>
        <w:spacing w:line="300" w:lineRule="auto"/>
        <w:ind w:firstLine="600"/>
        <w:rPr>
          <w:rFonts w:hint="eastAsia" w:ascii="宋体" w:hAnsi="宋体" w:eastAsia="宋体" w:cs="宋体"/>
          <w:sz w:val="21"/>
          <w:szCs w:val="21"/>
          <w14:ligatures w14:val="none"/>
        </w:rPr>
      </w:pPr>
      <w:r>
        <w:rPr>
          <w:rFonts w:hint="eastAsia" w:ascii="宋体" w:hAnsi="宋体" w:eastAsia="宋体" w:cs="宋体"/>
          <w:sz w:val="21"/>
          <w:szCs w:val="21"/>
          <w14:ligatures w14:val="none"/>
        </w:rPr>
        <w:t>通过本次计算可复现性检验，我们对心理学研究中“结果可重复”和“计算可复现”的区别有了更清楚的认识。Vul 与 Pashler（2008）提出的是一个理论效应，即同一人多次估计的平均值可能比单次估计更准确；Steegen 等人（2014）则通过新的样本和预注册流程对这一效应进行了实验复现；而本报告进一步检验的是，在给定 Steegen 等人（2014）公开数据和分析说明的情况下，能否用 R 语言重现其报告的统计结果。因此，本研究属于计算可复现性检验，而不是重新进行实验复制。</w:t>
      </w:r>
    </w:p>
    <w:p w14:paraId="1C667AC5">
      <w:pPr>
        <w:spacing w:line="300" w:lineRule="auto"/>
        <w:ind w:firstLine="600"/>
        <w:rPr>
          <w:rFonts w:hint="eastAsia" w:ascii="宋体" w:hAnsi="宋体" w:eastAsia="宋体" w:cs="宋体"/>
          <w:sz w:val="21"/>
          <w:szCs w:val="21"/>
          <w14:ligatures w14:val="none"/>
        </w:rPr>
      </w:pPr>
    </w:p>
    <w:p w14:paraId="564FAF84">
      <w:pPr>
        <w:spacing w:line="300" w:lineRule="auto"/>
        <w:ind w:firstLine="600"/>
        <w:rPr>
          <w:rFonts w:hint="eastAsia" w:ascii="宋体" w:hAnsi="宋体" w:eastAsia="宋体" w:cs="宋体"/>
          <w:sz w:val="21"/>
          <w:szCs w:val="21"/>
          <w14:ligatures w14:val="none"/>
        </w:rPr>
      </w:pPr>
      <w:r>
        <w:rPr>
          <w:rFonts w:hint="eastAsia" w:ascii="宋体" w:hAnsi="宋体" w:eastAsia="宋体" w:cs="宋体"/>
          <w:sz w:val="21"/>
          <w:szCs w:val="21"/>
          <w14:ligatures w14:val="none"/>
        </w:rPr>
        <w:t>本次复现也显示，开放数据和开放代码对于心理学研究非常重要。如果研究者公开原始数据、处理后数据、分析代码和清洗标准，后续研究者就可以更准确地检查统计结果是否可靠。相反，如果文献只报告最终结果，而不提供数据和代码，即使结论看似清晰，也很难判断其结果是否可以被计算复现。</w:t>
      </w:r>
    </w:p>
    <w:p w14:paraId="78CC0595">
      <w:pPr>
        <w:spacing w:line="300" w:lineRule="auto"/>
        <w:ind w:firstLine="600"/>
        <w:rPr>
          <w:rFonts w:hint="eastAsia" w:ascii="宋体" w:hAnsi="宋体" w:eastAsia="宋体" w:cs="宋体"/>
          <w:sz w:val="21"/>
          <w:szCs w:val="21"/>
          <w14:ligatures w14:val="none"/>
        </w:rPr>
      </w:pPr>
      <w:r>
        <w:rPr>
          <w:rFonts w:hint="eastAsia" w:ascii="宋体" w:hAnsi="宋体" w:eastAsia="宋体" w:cs="宋体"/>
          <w:sz w:val="21"/>
          <w:szCs w:val="21"/>
          <w14:ligatures w14:val="none"/>
        </w:rPr>
        <w:t>在统计方法方面，本研究进一步理解了 MSE、配对 t 检验、Cohen’s dz 和 Bayes factor 在行为数据分析中的作用。MSE 可以衡量估计误差大小；配对 t 检验适合比较同一被试的不同估计条件；Cohen’s dz 可以量化配对差异的效应量；Bayes factor 则可以补充传统 p 值，提供支持零假设或备择假设的证据强度。本研究中，传统显著性检验和 Bayes factor 的结果整体一致，说明 Steegen 等人（2014）的核心结论较为稳健。</w:t>
      </w:r>
    </w:p>
    <w:p w14:paraId="35DC8133">
      <w:pPr>
        <w:spacing w:line="300" w:lineRule="auto"/>
        <w:ind w:firstLine="600"/>
        <w:rPr>
          <w:rFonts w:hint="eastAsia" w:ascii="宋体" w:hAnsi="宋体" w:eastAsia="宋体" w:cs="宋体"/>
          <w:sz w:val="21"/>
          <w:szCs w:val="21"/>
          <w14:ligatures w14:val="none"/>
        </w:rPr>
      </w:pPr>
      <w:r>
        <w:rPr>
          <w:rFonts w:hint="eastAsia" w:ascii="宋体" w:hAnsi="宋体" w:eastAsia="宋体" w:cs="宋体"/>
          <w:sz w:val="21"/>
          <w:szCs w:val="21"/>
          <w14:ligatures w14:val="none"/>
        </w:rPr>
        <w:t>最后，本研究也提醒我们，在写复现报告时必须明确区分“原始研究”“复现实验”和“计算复现”的对象。Vul 与 Pashler（2008）是理论和原始发现来源；Steegen 等人（2014）是对该发现的预注册复现实验；本报告则是对 Steegen 等人（2014）公开数据和统计结果的计算可复现性检验。只有将这三者区分清楚，才能避免将不同数据来源和不同复现层次混淆。</w:t>
      </w:r>
    </w:p>
    <w:p w14:paraId="20569B2A">
      <w:pPr>
        <w:spacing w:line="300" w:lineRule="auto"/>
        <w:ind w:firstLine="562" w:firstLineChars="200"/>
        <w:jc w:val="center"/>
        <w:rPr>
          <w:rFonts w:hint="default" w:ascii="Times New Roman" w:hAnsi="Times New Roman" w:cs="Times New Roman"/>
        </w:rPr>
      </w:pPr>
      <w:r>
        <w:rPr>
          <w:rFonts w:hint="eastAsia" w:ascii="黑体" w:hAnsi="黑体" w:eastAsia="黑体" w:cs="Times New Roman"/>
          <w:b/>
          <w:bCs/>
          <w:sz w:val="28"/>
          <w:szCs w:val="28"/>
          <w14:ligatures w14:val="none"/>
        </w:rPr>
        <w:t>参考文献(APA格式)</w:t>
      </w:r>
      <w:bookmarkStart w:id="0" w:name="_GoBack"/>
      <w:bookmarkEnd w:id="0"/>
    </w:p>
    <w:p w14:paraId="5221DC6F">
      <w:pPr>
        <w:jc w:val="left"/>
        <w:rPr>
          <w:rFonts w:hint="default" w:ascii="Times New Roman" w:hAnsi="Times New Roman" w:cs="Times New Roman"/>
        </w:rPr>
      </w:pPr>
      <w:r>
        <w:rPr>
          <w:rFonts w:hint="default" w:ascii="Times New Roman" w:hAnsi="Times New Roman" w:cs="Times New Roman"/>
        </w:rPr>
        <w:t>Steegen, S., Dewitte, L., Tuerlinckx, F., &amp; Vanpaemel, W. (2014). Measuring the crowd within again: A pre-registered replication study. Frontiers in Psychology, 5, Article 786. https://doi.org/10.3389/fpsyg.2014.00786</w:t>
      </w:r>
    </w:p>
    <w:p w14:paraId="500A55A7">
      <w:pPr>
        <w:jc w:val="left"/>
        <w:rPr>
          <w:rFonts w:hint="default" w:ascii="Times New Roman" w:hAnsi="Times New Roman" w:cs="Times New Roman"/>
        </w:rPr>
      </w:pPr>
    </w:p>
    <w:p w14:paraId="5C23F1DD">
      <w:pPr>
        <w:jc w:val="left"/>
        <w:rPr>
          <w:rFonts w:hint="default" w:ascii="Times New Roman" w:hAnsi="Times New Roman" w:cs="Times New Roman"/>
        </w:rPr>
      </w:pPr>
      <w:r>
        <w:rPr>
          <w:rFonts w:hint="default" w:ascii="Times New Roman" w:hAnsi="Times New Roman" w:cs="Times New Roman"/>
        </w:rPr>
        <w:t>Vul, E., &amp; Pashler, H. (2008). Measuring the crowd within: Probabilistic representations within individuals. Psychological Science, 19(7), 645–647. https://doi.org/10.1111/j.1467-9280.2008.02136.x</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B5B8C"/>
    <w:rsid w:val="06783F44"/>
    <w:rsid w:val="36FF6360"/>
    <w:rsid w:val="3BEC625F"/>
    <w:rsid w:val="40E952E6"/>
    <w:rsid w:val="4C773E82"/>
    <w:rsid w:val="4DFB5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Emphasis"/>
    <w:basedOn w:val="4"/>
    <w:qFormat/>
    <w:uiPriority w:val="0"/>
    <w:rPr>
      <w:i/>
    </w:rPr>
  </w:style>
  <w:style w:type="character" w:styleId="6">
    <w:name w:val="Hyperlink"/>
    <w:basedOn w:val="4"/>
    <w:uiPriority w:val="0"/>
    <w:rPr>
      <w:color w:val="0000FF"/>
      <w:u w:val="single"/>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2026-07-03T10:16:00Z</dcterms:created>
  <dc:creator>WPS_1727078609</dc:creator>
  <cp:lastModifiedBy>WPS_1727078609</cp:lastModifiedBy>
  <dcterms:modified xsi:type="dcterms:W3CDTF">2026-07-03T11:29:03Z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D93B84A7BCAC4A9D8D55000DDFC0D54C_13</vt:lpwstr>
  </property>
  <property fmtid="{D5CDD505-2E9C-101B-9397-08002B2CF9AE}" pid="4" name="KSOTemplateDocerSaveRecord">
    <vt:lpwstr>eyJoZGlkIjoiN2MwMDRmMzk0OWY4Y2IzY2UwMTIzMDFlYTA5YThhMzkiLCJ1c2VySWQiOiIxNjM4NzQwNzgxIn0=</vt:lpwstr>
  </property>
</Properties>
</file>