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1114B0">
      <w:pPr>
        <w:pStyle w:val="3"/>
      </w:pPr>
      <w:r>
        <w:t>Network Capacity &amp; Saturation Analysis</w:t>
      </w:r>
    </w:p>
    <w:p w14:paraId="03B9F8AF">
      <w:pPr>
        <w:pStyle w:val="4"/>
      </w:pPr>
      <w:r>
        <w:t>1. Objective</w:t>
      </w:r>
    </w:p>
    <w:p w14:paraId="1826E455">
      <w:r>
        <w:t>The</w:t>
      </w:r>
      <w:r>
        <w:rPr>
          <w:rFonts w:hint="eastAsia" w:eastAsia="宋体"/>
          <w:lang w:val="en-US" w:eastAsia="zh-CN"/>
        </w:rPr>
        <w:t xml:space="preserve"> </w:t>
      </w:r>
      <w:r>
        <w:t>question is whether Naples’ transport system can absorb the extraordinary America’s Cup demand. We answer it with a volume-to-capacity V/C saturation analysis of the rail lines serving the event area, comparing the as-is baseline against the event scenario, complemented by a real road-network accessibility analysis</w:t>
      </w:r>
      <w:r>
        <w:rPr>
          <w:rFonts w:hint="eastAsia" w:eastAsia="宋体"/>
          <w:lang w:val="en-US" w:eastAsia="zh-CN"/>
        </w:rPr>
        <w:t xml:space="preserve">, </w:t>
      </w:r>
      <w:r>
        <w:t>OSRM.</w:t>
      </w:r>
    </w:p>
    <w:p w14:paraId="58390FFC">
      <w:pPr>
        <w:pStyle w:val="4"/>
        <w:numPr>
          <w:ilvl w:val="0"/>
          <w:numId w:val="7"/>
        </w:numPr>
      </w:pPr>
      <w:r>
        <w:t>Study area — event zones</w:t>
      </w:r>
    </w:p>
    <w:p w14:paraId="0F37B184">
      <w:pPr>
        <w:pStyle w:val="3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ascii="Calibri" w:hAnsi="Calibri" w:eastAsiaTheme="minorEastAsia" w:cstheme="minorBidi"/>
          <w:sz w:val="22"/>
          <w:szCs w:val="22"/>
          <w:lang w:val="en-US" w:eastAsia="en-US" w:bidi="ar-SA"/>
        </w:rPr>
      </w:pPr>
      <w:r>
        <w:rPr>
          <w:rFonts w:ascii="Calibri" w:hAnsi="Calibri" w:eastAsiaTheme="minorEastAsia" w:cstheme="minorBidi"/>
          <w:sz w:val="22"/>
          <w:szCs w:val="22"/>
          <w:lang w:val="en-US" w:eastAsia="en-US" w:bidi="ar-SA"/>
        </w:rPr>
        <w:t>The demand model</w:t>
      </w:r>
      <w:r>
        <w:rPr>
          <w:rFonts w:hint="eastAsia" w:ascii="Calibri" w:hAnsi="Calibri" w:eastAsiaTheme="minorEastAsia" w:cstheme="minorBidi"/>
          <w:sz w:val="22"/>
          <w:szCs w:val="22"/>
          <w:lang w:val="en-US" w:eastAsia="zh-CN" w:bidi="ar-SA"/>
        </w:rPr>
        <w:t xml:space="preserve"> </w:t>
      </w:r>
      <w:r>
        <w:rPr>
          <w:rFonts w:ascii="Calibri" w:hAnsi="Calibri" w:eastAsiaTheme="minorEastAsia" w:cstheme="minorBidi"/>
          <w:sz w:val="22"/>
          <w:szCs w:val="22"/>
          <w:lang w:val="en-US" w:eastAsia="en-US" w:bidi="ar-SA"/>
        </w:rPr>
        <w:t>concentrates arrivals in the central-Naples and venue zones. We look at two corridors here, plus the Napoli Centrale rail hub.</w:t>
      </w:r>
    </w:p>
    <w:p w14:paraId="536DE32A">
      <w:pPr>
        <w:pStyle w:val="3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ascii="Calibri" w:hAnsi="Calibri" w:eastAsiaTheme="minorEastAsia" w:cstheme="minorBidi"/>
          <w:sz w:val="22"/>
          <w:szCs w:val="22"/>
          <w:lang w:val="en-US" w:eastAsia="en-US" w:bidi="ar-SA"/>
        </w:rPr>
      </w:pPr>
      <w:r>
        <w:rPr>
          <w:rFonts w:ascii="Calibri" w:hAnsi="Calibri" w:eastAsiaTheme="minorEastAsia" w:cstheme="minorBidi"/>
          <w:sz w:val="22"/>
          <w:szCs w:val="22"/>
          <w:lang w:val="en-US" w:eastAsia="en-US" w:bidi="ar-SA"/>
        </w:rPr>
        <w:t>The west corridor is the venue side</w:t>
      </w:r>
      <w:r>
        <w:rPr>
          <w:rFonts w:hint="eastAsia" w:eastAsia="宋体" w:cstheme="minorBidi"/>
          <w:sz w:val="22"/>
          <w:szCs w:val="22"/>
          <w:lang w:val="en-US" w:eastAsia="zh-CN" w:bidi="ar-SA"/>
        </w:rPr>
        <w:t xml:space="preserve">, </w:t>
      </w:r>
      <w:r>
        <w:rPr>
          <w:rFonts w:ascii="Calibri" w:hAnsi="Calibri" w:eastAsiaTheme="minorEastAsia" w:cstheme="minorBidi"/>
          <w:sz w:val="22"/>
          <w:szCs w:val="22"/>
          <w:lang w:val="en-US" w:eastAsia="en-US" w:bidi="ar-SA"/>
        </w:rPr>
        <w:t>zones 10, 2 and 33, covering the Bagnoli race and tech area and the Mostra interchange in the west, where the Cumana, Line 2 and Line 6 all meet.</w:t>
      </w:r>
    </w:p>
    <w:p w14:paraId="2FF0C22F">
      <w:pPr>
        <w:pStyle w:val="3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ascii="Calibri" w:hAnsi="Calibri" w:eastAsiaTheme="minorEastAsia" w:cstheme="minorBidi"/>
          <w:sz w:val="22"/>
          <w:szCs w:val="22"/>
          <w:lang w:val="en-US" w:eastAsia="en-US" w:bidi="ar-SA"/>
        </w:rPr>
      </w:pPr>
      <w:r>
        <w:rPr>
          <w:rFonts w:ascii="Calibri" w:hAnsi="Calibri" w:eastAsiaTheme="minorEastAsia" w:cstheme="minorBidi"/>
          <w:sz w:val="22"/>
          <w:szCs w:val="22"/>
          <w:lang w:val="en-US" w:eastAsia="en-US" w:bidi="ar-SA"/>
        </w:rPr>
        <w:t>The central corridor runs along the waterfront and into the gateway</w:t>
      </w:r>
      <w:r>
        <w:rPr>
          <w:rFonts w:hint="eastAsia" w:eastAsia="宋体" w:cstheme="minorBidi"/>
          <w:sz w:val="22"/>
          <w:szCs w:val="22"/>
          <w:lang w:val="en-US" w:eastAsia="zh-CN" w:bidi="ar-SA"/>
        </w:rPr>
        <w:t>,</w:t>
      </w:r>
      <w:r>
        <w:rPr>
          <w:rFonts w:ascii="Calibri" w:hAnsi="Calibri" w:eastAsiaTheme="minorEastAsia" w:cstheme="minorBidi"/>
          <w:sz w:val="22"/>
          <w:szCs w:val="22"/>
          <w:lang w:val="en-US" w:eastAsia="en-US" w:bidi="ar-SA"/>
        </w:rPr>
        <w:t xml:space="preserve"> zones 3, 1, 71, 195, 216 and 79. This is the central waterfront, the Centro Direzionale, and the Napoli Centrale hub served by Lines 1 and 2. The station hub itself is zone 79; zone 1 is the Centro Direzionale district right next to it.</w:t>
      </w:r>
    </w:p>
    <w:p w14:paraId="4E039429">
      <w:pPr>
        <w:pStyle w:val="30"/>
        <w:keepNext w:val="0"/>
        <w:keepLines w:val="0"/>
        <w:pageBreakBefore w:val="0"/>
        <w:widowControl/>
        <w:suppressLineNumbers w:val="0"/>
        <w:kinsoku/>
        <w:wordWrap/>
        <w:overflowPunct/>
        <w:topLinePunct w:val="0"/>
        <w:autoSpaceDE/>
        <w:autoSpaceDN/>
        <w:bidi w:val="0"/>
        <w:adjustRightInd/>
        <w:snapToGrid/>
        <w:spacing w:before="0" w:beforeAutospacing="0" w:after="200" w:afterAutospacing="0"/>
        <w:ind w:left="0" w:right="0"/>
        <w:textAlignment w:val="auto"/>
      </w:pPr>
      <w:r>
        <w:rPr>
          <w:rFonts w:ascii="Calibri" w:hAnsi="Calibri" w:eastAsiaTheme="minorEastAsia" w:cstheme="minorBidi"/>
          <w:sz w:val="22"/>
          <w:szCs w:val="22"/>
          <w:lang w:val="en-US" w:eastAsia="en-US" w:bidi="ar-SA"/>
        </w:rPr>
        <w:t>The airport zone 191 and the Pompeii</w:t>
      </w:r>
      <w:r>
        <w:rPr>
          <w:rFonts w:hint="eastAsia" w:eastAsia="宋体" w:cstheme="minorBidi"/>
          <w:sz w:val="22"/>
          <w:szCs w:val="22"/>
          <w:lang w:val="en-US" w:eastAsia="zh-CN" w:bidi="ar-SA"/>
        </w:rPr>
        <w:t xml:space="preserve"> and </w:t>
      </w:r>
      <w:r>
        <w:rPr>
          <w:rFonts w:ascii="Calibri" w:hAnsi="Calibri" w:eastAsiaTheme="minorEastAsia" w:cstheme="minorBidi"/>
          <w:sz w:val="22"/>
          <w:szCs w:val="22"/>
          <w:lang w:val="en-US" w:eastAsia="en-US" w:bidi="ar-SA"/>
        </w:rPr>
        <w:t xml:space="preserve">Vesuvius tourist zones 68, 212 are on completely different networks </w:t>
      </w:r>
      <w:r>
        <w:rPr>
          <w:rFonts w:hint="eastAsia" w:eastAsia="宋体" w:cstheme="minorBidi"/>
          <w:sz w:val="22"/>
          <w:szCs w:val="22"/>
          <w:lang w:val="en-US" w:eastAsia="zh-CN" w:bidi="ar-SA"/>
        </w:rPr>
        <w:t xml:space="preserve">which is </w:t>
      </w:r>
      <w:r>
        <w:rPr>
          <w:rFonts w:ascii="Calibri" w:hAnsi="Calibri" w:eastAsiaTheme="minorEastAsia" w:cstheme="minorBidi"/>
          <w:sz w:val="22"/>
          <w:szCs w:val="22"/>
          <w:lang w:val="en-US" w:eastAsia="en-US" w:bidi="ar-SA"/>
        </w:rPr>
        <w:t>Alibus and the Circumvesuvianaregional rail</w:t>
      </w:r>
      <w:r>
        <w:rPr>
          <w:rFonts w:hint="eastAsia" w:eastAsia="宋体" w:cstheme="minorBidi"/>
          <w:sz w:val="22"/>
          <w:szCs w:val="22"/>
          <w:lang w:val="en-US" w:eastAsia="zh-CN" w:bidi="ar-SA"/>
        </w:rPr>
        <w:t>,</w:t>
      </w:r>
      <w:r>
        <w:rPr>
          <w:rFonts w:ascii="Calibri" w:hAnsi="Calibri" w:eastAsiaTheme="minorEastAsia" w:cstheme="minorBidi"/>
          <w:sz w:val="22"/>
          <w:szCs w:val="22"/>
          <w:lang w:val="en-US" w:eastAsia="en-US" w:bidi="ar-SA"/>
        </w:rPr>
        <w:t xml:space="preserve"> so we just discuss them qualitatively rather than putting them in the metro V/C analysis.</w:t>
      </w:r>
    </w:p>
    <w:p w14:paraId="2E4E8498">
      <w:pPr>
        <w:pStyle w:val="4"/>
        <w:numPr>
          <w:ilvl w:val="0"/>
          <w:numId w:val="7"/>
        </w:numPr>
        <w:ind w:left="0" w:leftChars="0" w:firstLine="0" w:firstLineChars="0"/>
      </w:pPr>
      <w:r>
        <w:t>Data</w:t>
      </w:r>
    </w:p>
    <w:p w14:paraId="4347AEF5">
      <w:pPr>
        <w:keepNext w:val="0"/>
        <w:keepLines w:val="0"/>
        <w:pageBreakBefore w:val="0"/>
        <w:widowControl/>
        <w:numPr>
          <w:ilvl w:val="0"/>
          <w:numId w:val="0"/>
        </w:numPr>
        <w:kinsoku/>
        <w:wordWrap/>
        <w:overflowPunct/>
        <w:topLinePunct w:val="0"/>
        <w:autoSpaceDE/>
        <w:autoSpaceDN/>
        <w:bidi w:val="0"/>
        <w:adjustRightInd/>
        <w:snapToGrid/>
        <w:spacing w:after="0"/>
        <w:ind w:leftChars="0"/>
        <w:textAlignment w:val="auto"/>
        <w:rPr>
          <w:rFonts w:hint="eastAsia"/>
        </w:rPr>
      </w:pPr>
      <w:r>
        <w:rPr>
          <w:rFonts w:hint="eastAsia"/>
        </w:rPr>
        <w:t>The analysis draws on two demand scenarios and a set of supply-side capacity figures. The as-is baseline describes current travel</w:t>
      </w:r>
      <w:r>
        <w:rPr>
          <w:rFonts w:hint="eastAsia" w:eastAsia="宋体"/>
          <w:lang w:val="en-US" w:eastAsia="zh-CN"/>
        </w:rPr>
        <w:t>,</w:t>
      </w:r>
      <w:r>
        <w:rPr>
          <w:rFonts w:hint="eastAsia"/>
        </w:rPr>
        <w:t xml:space="preserve"> about 98.8 million trips a month across the region</w:t>
      </w:r>
      <w:r>
        <w:rPr>
          <w:rFonts w:hint="eastAsia" w:eastAsia="宋体"/>
          <w:lang w:val="en-US" w:eastAsia="zh-CN"/>
        </w:rPr>
        <w:t xml:space="preserve">, </w:t>
      </w:r>
      <w:r>
        <w:rPr>
          <w:rFonts w:hint="eastAsia"/>
        </w:rPr>
        <w:t>while the event scenario raises this to 108.4 million. The difference, roughly 9.6 million extra trips, is the surge we care about.</w:t>
      </w:r>
    </w:p>
    <w:p w14:paraId="2951F015">
      <w:pPr>
        <w:keepNext w:val="0"/>
        <w:keepLines w:val="0"/>
        <w:pageBreakBefore w:val="0"/>
        <w:widowControl/>
        <w:numPr>
          <w:ilvl w:val="0"/>
          <w:numId w:val="0"/>
        </w:numPr>
        <w:kinsoku/>
        <w:wordWrap/>
        <w:overflowPunct/>
        <w:topLinePunct w:val="0"/>
        <w:autoSpaceDE/>
        <w:autoSpaceDN/>
        <w:bidi w:val="0"/>
        <w:adjustRightInd/>
        <w:snapToGrid/>
        <w:spacing w:after="0"/>
        <w:ind w:leftChars="0"/>
        <w:textAlignment w:val="auto"/>
        <w:rPr>
          <w:rFonts w:hint="eastAsia"/>
        </w:rPr>
      </w:pPr>
      <w:r>
        <w:rPr>
          <w:rFonts w:hint="eastAsia"/>
        </w:rPr>
        <w:t>Spread across the whole of Campania, that surge is only a +9.7% increase, which on its own doesn't look alarming. The problem is that it doesn't spread evenly. It concentrates on a 20-day event window and on just nine zones around the venues and central Naples, where the growth runs several times the regional average</w:t>
      </w:r>
      <w:r>
        <w:rPr>
          <w:rFonts w:hint="eastAsia" w:eastAsia="宋体"/>
          <w:lang w:val="en-US" w:eastAsia="zh-CN"/>
        </w:rPr>
        <w:t>,</w:t>
      </w:r>
      <w:r>
        <w:rPr>
          <w:rFonts w:hint="eastAsia"/>
        </w:rPr>
        <w:t xml:space="preserve"> heaviest on the central waterfront and around the Napoli Centrale gateway, and noticeably</w:t>
      </w:r>
      <w:r>
        <w:rPr>
          <w:rFonts w:hint="eastAsia" w:eastAsia="宋体"/>
          <w:lang w:val="en-US" w:eastAsia="zh-CN"/>
        </w:rPr>
        <w:t xml:space="preserve"> </w:t>
      </w:r>
      <w:r>
        <w:rPr>
          <w:rFonts w:hint="eastAsia"/>
        </w:rPr>
        <w:t>lighter at the venue itself, which is exactly why the central spine rather</w:t>
      </w:r>
      <w:r>
        <w:rPr>
          <w:rFonts w:hint="eastAsia" w:eastAsia="宋体"/>
          <w:lang w:val="en-US" w:eastAsia="zh-CN"/>
        </w:rPr>
        <w:t xml:space="preserve"> </w:t>
      </w:r>
      <w:r>
        <w:rPr>
          <w:rFonts w:hint="eastAsia"/>
        </w:rPr>
        <w:t>than the venue becomes the bottleneck.</w:t>
      </w:r>
    </w:p>
    <w:p w14:paraId="7A731746">
      <w:pPr>
        <w:numPr>
          <w:ilvl w:val="0"/>
          <w:numId w:val="0"/>
        </w:numPr>
        <w:ind w:leftChars="0"/>
      </w:pPr>
      <w:r>
        <w:rPr>
          <w:rFonts w:hint="eastAsia"/>
        </w:rPr>
        <w:t>On the supply side, we use published peak-hour capacities for each rail line per direction: Metro Line 1 carries around 12,000 passengers an hour, Line 6 about 7,200, Line 2 about 3,600, and the Cumana around 1,050. Road travel times between zones come from a full 222-zone driving-time matrix built on the real road network, and all zone boundaries follow the official Campania geography.</w:t>
      </w:r>
      <w:bookmarkStart w:id="0" w:name="_GoBack"/>
      <w:bookmarkEnd w:id="0"/>
    </w:p>
    <w:p w14:paraId="1D745F7E">
      <w:pPr>
        <w:pStyle w:val="4"/>
        <w:numPr>
          <w:ilvl w:val="0"/>
          <w:numId w:val="7"/>
        </w:numPr>
        <w:ind w:left="0" w:leftChars="0" w:firstLine="0" w:firstLineChars="0"/>
      </w:pPr>
      <w:r>
        <w:t>Method</w:t>
      </w:r>
    </w:p>
    <w:p w14:paraId="662EA562">
      <w:pPr>
        <w:keepNext w:val="0"/>
        <w:keepLines w:val="0"/>
        <w:pageBreakBefore w:val="0"/>
        <w:widowControl/>
        <w:numPr>
          <w:ilvl w:val="0"/>
          <w:numId w:val="0"/>
        </w:numPr>
        <w:kinsoku/>
        <w:wordWrap/>
        <w:overflowPunct/>
        <w:topLinePunct w:val="0"/>
        <w:autoSpaceDE/>
        <w:autoSpaceDN/>
        <w:bidi w:val="0"/>
        <w:adjustRightInd/>
        <w:snapToGrid/>
        <w:spacing w:after="0"/>
        <w:ind w:leftChars="0"/>
        <w:textAlignment w:val="auto"/>
        <w:rPr>
          <w:rFonts w:hint="eastAsia"/>
        </w:rPr>
      </w:pPr>
      <w:r>
        <w:rPr>
          <w:rFonts w:hint="eastAsia"/>
        </w:rPr>
        <w:t>The idea behind this is pretty straightforward. For each zone we take its demand, boil it down to the single busiest hour in one direction, and then work out how much of that ends up on the trains.</w:t>
      </w:r>
    </w:p>
    <w:p w14:paraId="22101910">
      <w:pPr>
        <w:keepNext w:val="0"/>
        <w:keepLines w:val="0"/>
        <w:pageBreakBefore w:val="0"/>
        <w:widowControl/>
        <w:numPr>
          <w:ilvl w:val="0"/>
          <w:numId w:val="0"/>
        </w:numPr>
        <w:kinsoku/>
        <w:wordWrap/>
        <w:overflowPunct/>
        <w:topLinePunct w:val="0"/>
        <w:autoSpaceDE/>
        <w:autoSpaceDN/>
        <w:bidi w:val="0"/>
        <w:adjustRightInd/>
        <w:snapToGrid/>
        <w:spacing w:after="0"/>
        <w:ind w:leftChars="0"/>
        <w:textAlignment w:val="auto"/>
        <w:rPr>
          <w:rFonts w:hint="eastAsia"/>
        </w:rPr>
      </w:pPr>
      <w:r>
        <w:rPr>
          <w:rFonts w:hint="eastAsia"/>
        </w:rPr>
        <w:t>We begin with each zone's monthly demand and divide by 30.4 to get a normal day. The event day is that same baseline plus the tourist surge, but we don't smear the surge across a whole month. Visitors are only around for the event itself, so we spread the incremen</w:t>
      </w:r>
      <w:r>
        <w:rPr>
          <w:rFonts w:hint="eastAsia" w:eastAsia="宋体"/>
          <w:lang w:val="en-US" w:eastAsia="zh-CN"/>
        </w:rPr>
        <w:t>t</w:t>
      </w:r>
      <w:r>
        <w:rPr>
          <w:rFonts w:hint="eastAsia"/>
        </w:rPr>
        <w:t xml:space="preserve"> over just the 20 days they're actually there. That gives us event-day demand per zone. From there we take 8% as the peak-hour slice in one direction, and assume half of those trips go by rail. What's left is the peak-hour rail demand.</w:t>
      </w:r>
    </w:p>
    <w:p w14:paraId="437831CE">
      <w:pPr>
        <w:keepNext w:val="0"/>
        <w:keepLines w:val="0"/>
        <w:pageBreakBefore w:val="0"/>
        <w:widowControl/>
        <w:numPr>
          <w:ilvl w:val="0"/>
          <w:numId w:val="0"/>
        </w:numPr>
        <w:kinsoku/>
        <w:wordWrap/>
        <w:overflowPunct/>
        <w:topLinePunct w:val="0"/>
        <w:autoSpaceDE/>
        <w:autoSpaceDN/>
        <w:bidi w:val="0"/>
        <w:adjustRightInd/>
        <w:snapToGrid/>
        <w:spacing w:after="0"/>
        <w:ind w:leftChars="0"/>
        <w:textAlignment w:val="auto"/>
        <w:rPr>
          <w:rFonts w:hint="eastAsia"/>
        </w:rPr>
      </w:pPr>
      <w:r>
        <w:rPr>
          <w:rFonts w:hint="eastAsia"/>
        </w:rPr>
        <w:t>That 8% isn't a number we picked out of the air. It falls out of the as-is data. The morning peak 05:00–08:59 is 21.8% of the whole day, so spread over those four hours that's about 5.5% an hour. The traffic isn't flat even within the peak, so we nudge it up by a factor of around 1.4, which lands us near 8% for the single worst hour.The 50% rail share is less solid.</w:t>
      </w:r>
      <w:r>
        <w:rPr>
          <w:rFonts w:hint="eastAsia" w:eastAsia="宋体"/>
          <w:lang w:val="en-US" w:eastAsia="zh-CN"/>
        </w:rPr>
        <w:t xml:space="preserve"> </w:t>
      </w:r>
      <w:r>
        <w:rPr>
          <w:rFonts w:hint="eastAsia"/>
        </w:rPr>
        <w:t>The phone data only tells us train and air, never the full road-versus-rail breakdown, so we're genuinely guessing here. That's why we don't just trust one value. We rerun everything at 40%, 50% and 60% to see if it actually matters.</w:t>
      </w:r>
    </w:p>
    <w:p w14:paraId="25FCC078">
      <w:pPr>
        <w:keepNext w:val="0"/>
        <w:keepLines w:val="0"/>
        <w:pageBreakBefore w:val="0"/>
        <w:widowControl/>
        <w:numPr>
          <w:ilvl w:val="0"/>
          <w:numId w:val="0"/>
        </w:numPr>
        <w:kinsoku/>
        <w:wordWrap/>
        <w:overflowPunct/>
        <w:topLinePunct w:val="0"/>
        <w:autoSpaceDE/>
        <w:autoSpaceDN/>
        <w:bidi w:val="0"/>
        <w:adjustRightInd/>
        <w:snapToGrid/>
        <w:spacing w:after="0"/>
        <w:ind w:leftChars="0"/>
        <w:textAlignment w:val="auto"/>
        <w:rPr>
          <w:rFonts w:hint="eastAsia"/>
        </w:rPr>
      </w:pPr>
      <w:r>
        <w:rPr>
          <w:rFonts w:hint="eastAsia"/>
        </w:rPr>
        <w:t>Saturation itself is peak-hour rail demand over line capacity, the V/C ratio. We score it on the standard level-of-service bands: under 0.60 is fine A–C, 0.60 to 0.80 is D, 0.80 to 1.0 E means the line's basically full, and anything over 1.0 F</w:t>
      </w:r>
      <w:r>
        <w:rPr>
          <w:rFonts w:hint="eastAsia" w:eastAsia="宋体"/>
          <w:lang w:val="en-US" w:eastAsia="zh-CN"/>
        </w:rPr>
        <w:t xml:space="preserve"> </w:t>
      </w:r>
      <w:r>
        <w:rPr>
          <w:rFonts w:hint="eastAsia"/>
        </w:rPr>
        <w:t>is oversaturated, which is the "collapse" the brief is really asking about. We use 0.80 as the practical cut-off for peak loading. And we look at it two ways, a rough corridor-level cut and a more detailed per-line one.</w:t>
      </w:r>
    </w:p>
    <w:p w14:paraId="359AC02F">
      <w:pPr>
        <w:pStyle w:val="4"/>
        <w:numPr>
          <w:ilvl w:val="0"/>
          <w:numId w:val="7"/>
        </w:numPr>
        <w:ind w:left="0" w:leftChars="0" w:firstLine="0" w:firstLineChars="0"/>
      </w:pPr>
      <w:r>
        <w:t>Results</w:t>
      </w:r>
    </w:p>
    <w:p w14:paraId="1F7DD746">
      <w:pPr>
        <w:keepNext w:val="0"/>
        <w:keepLines w:val="0"/>
        <w:pageBreakBefore w:val="0"/>
        <w:widowControl/>
        <w:numPr>
          <w:ilvl w:val="0"/>
          <w:numId w:val="0"/>
        </w:numPr>
        <w:kinsoku/>
        <w:wordWrap/>
        <w:overflowPunct/>
        <w:topLinePunct w:val="0"/>
        <w:autoSpaceDE/>
        <w:autoSpaceDN/>
        <w:bidi w:val="0"/>
        <w:adjustRightInd/>
        <w:snapToGrid/>
        <w:spacing w:after="0"/>
        <w:ind w:leftChars="0"/>
        <w:textAlignment w:val="auto"/>
        <w:rPr>
          <w:rFonts w:hint="eastAsia"/>
        </w:rPr>
      </w:pPr>
      <w:r>
        <w:rPr>
          <w:rFonts w:hint="eastAsia"/>
        </w:rPr>
        <w:t>Spatial overview</w:t>
      </w:r>
      <w:r>
        <w:rPr>
          <w:rFonts w:hint="eastAsia" w:eastAsia="宋体"/>
          <w:lang w:val="en-US" w:eastAsia="zh-CN"/>
        </w:rPr>
        <w:t xml:space="preserve"> for</w:t>
      </w:r>
      <w:r>
        <w:rPr>
          <w:rFonts w:hint="eastAsia"/>
        </w:rPr>
        <w:t xml:space="preserve"> venues and rail lines. The map below pins down where everything sits: the main event anchors</w:t>
      </w:r>
      <w:r>
        <w:rPr>
          <w:rFonts w:hint="eastAsia" w:eastAsia="宋体"/>
          <w:lang w:val="en-US" w:eastAsia="zh-CN"/>
        </w:rPr>
        <w:t xml:space="preserve">, </w:t>
      </w:r>
      <w:r>
        <w:rPr>
          <w:rFonts w:hint="eastAsia"/>
        </w:rPr>
        <w:t>the Bagnoli venue, the Race Village, and the Napoli Centrale rail hub, the western interchange at Mostra, and the four rail corridors we look at, each shaded by its event-day V/C at the peak hour, assuming a 50% transit share.</w:t>
      </w:r>
    </w:p>
    <w:p w14:paraId="61F6C550">
      <w:pPr>
        <w:jc w:val="center"/>
      </w:pPr>
      <w:r>
        <w:drawing>
          <wp:inline distT="0" distB="0" distL="114300" distR="114300">
            <wp:extent cx="5594985" cy="3143885"/>
            <wp:effectExtent l="0" t="0" r="5715"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6"/>
                    <a:srcRect t="6940"/>
                    <a:stretch>
                      <a:fillRect/>
                    </a:stretch>
                  </pic:blipFill>
                  <pic:spPr>
                    <a:xfrm>
                      <a:off x="0" y="0"/>
                      <a:ext cx="5594985" cy="3143885"/>
                    </a:xfrm>
                    <a:prstGeom prst="rect">
                      <a:avLst/>
                    </a:prstGeom>
                  </pic:spPr>
                </pic:pic>
              </a:graphicData>
            </a:graphic>
          </wp:inline>
        </w:drawing>
      </w:r>
    </w:p>
    <w:p w14:paraId="59E56777">
      <w:pPr>
        <w:jc w:val="center"/>
      </w:pPr>
      <w:r>
        <w:rPr>
          <w:i/>
          <w:sz w:val="18"/>
        </w:rPr>
        <w:t xml:space="preserve">Fig. 1 — Event venues and the four analysed rail corridors </w:t>
      </w:r>
    </w:p>
    <w:p w14:paraId="54E97B01">
      <w:pPr>
        <w:jc w:val="center"/>
      </w:pPr>
      <w:r>
        <w:drawing>
          <wp:inline distT="0" distB="0" distL="114300" distR="114300">
            <wp:extent cx="4934585" cy="2969895"/>
            <wp:effectExtent l="0" t="0" r="571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4934585" cy="2969895"/>
                    </a:xfrm>
                    <a:prstGeom prst="rect">
                      <a:avLst/>
                    </a:prstGeom>
                  </pic:spPr>
                </pic:pic>
              </a:graphicData>
            </a:graphic>
          </wp:inline>
        </w:drawing>
      </w:r>
    </w:p>
    <w:p w14:paraId="029E5121">
      <w:pPr>
        <w:jc w:val="center"/>
        <w:rPr>
          <w:i/>
          <w:sz w:val="18"/>
        </w:rPr>
      </w:pPr>
      <w:r>
        <w:rPr>
          <w:i/>
          <w:sz w:val="18"/>
        </w:rPr>
        <w:t xml:space="preserve">Fig. 2 — Peak-hour V/C by rail line (baseline vs event). </w:t>
      </w:r>
    </w:p>
    <w:p w14:paraId="672522F0">
      <w:pPr>
        <w:pStyle w:val="30"/>
        <w:keepNext w:val="0"/>
        <w:keepLines w:val="0"/>
        <w:widowControl/>
        <w:suppressLineNumbers w:val="0"/>
        <w:spacing w:before="0" w:beforeAutospacing="1" w:after="0" w:afterAutospacing="1"/>
        <w:ind w:left="0" w:right="0"/>
        <w:rPr>
          <w:rFonts w:hint="eastAsia" w:ascii="Calibri" w:hAnsi="Calibri" w:eastAsiaTheme="minorEastAsia" w:cstheme="minorBidi"/>
          <w:sz w:val="22"/>
          <w:szCs w:val="22"/>
          <w:lang w:val="en-US" w:eastAsia="en-US" w:bidi="ar-SA"/>
        </w:rPr>
      </w:pPr>
      <w:r>
        <w:rPr>
          <w:rFonts w:hint="eastAsia" w:ascii="Calibri" w:hAnsi="Calibri" w:eastAsiaTheme="minorEastAsia" w:cstheme="minorBidi"/>
          <w:sz w:val="22"/>
          <w:szCs w:val="22"/>
          <w:lang w:val="en-US" w:eastAsia="en-US" w:bidi="ar-SA"/>
        </w:rPr>
        <w:t>How bad things get for Line 1 depends a lot on the transit-share assumption. At 40% it sits at 0.73, comfortably within capacity. At 50% it climbs to 0.91, leaving almost no room to spare. And at 60% it tips over to 1.09, which means oversaturation</w:t>
      </w:r>
      <w:r>
        <w:rPr>
          <w:rFonts w:hint="eastAsia" w:eastAsia="宋体" w:cstheme="minorBidi"/>
          <w:sz w:val="22"/>
          <w:szCs w:val="22"/>
          <w:lang w:val="en-US" w:eastAsia="zh-CN" w:bidi="ar-SA"/>
        </w:rPr>
        <w:t xml:space="preserve">. </w:t>
      </w:r>
      <w:r>
        <w:rPr>
          <w:rFonts w:hint="eastAsia" w:ascii="Calibri" w:hAnsi="Calibri" w:eastAsiaTheme="minorEastAsia" w:cstheme="minorBidi"/>
          <w:sz w:val="22"/>
          <w:szCs w:val="22"/>
          <w:lang w:val="en-US" w:eastAsia="en-US" w:bidi="ar-SA"/>
        </w:rPr>
        <w:t>Every other line stays at or below 0.84 no matter what, so Line 1 is really the only one in any danger.</w:t>
      </w:r>
    </w:p>
    <w:p w14:paraId="50B775D4">
      <w:pPr>
        <w:jc w:val="both"/>
      </w:pPr>
      <w:r>
        <w:drawing>
          <wp:inline distT="0" distB="0" distL="114300" distR="114300">
            <wp:extent cx="4951730" cy="2992755"/>
            <wp:effectExtent l="0" t="0" r="127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4951730" cy="2992755"/>
                    </a:xfrm>
                    <a:prstGeom prst="rect">
                      <a:avLst/>
                    </a:prstGeom>
                  </pic:spPr>
                </pic:pic>
              </a:graphicData>
            </a:graphic>
          </wp:inline>
        </w:drawing>
      </w:r>
    </w:p>
    <w:p w14:paraId="1CBD106C">
      <w:pPr>
        <w:jc w:val="center"/>
        <w:rPr>
          <w:i/>
          <w:sz w:val="18"/>
        </w:rPr>
      </w:pPr>
      <w:r>
        <w:rPr>
          <w:i/>
          <w:sz w:val="18"/>
        </w:rPr>
        <w:t xml:space="preserve">Fig. 3 — Event V/C vs assumed transit mode share. </w:t>
      </w:r>
    </w:p>
    <w:p w14:paraId="465CDA2D">
      <w:pPr>
        <w:pStyle w:val="30"/>
        <w:keepNext w:val="0"/>
        <w:keepLines w:val="0"/>
        <w:widowControl/>
        <w:suppressLineNumbers w:val="0"/>
        <w:spacing w:before="0" w:beforeAutospacing="1" w:after="0" w:afterAutospacing="1"/>
        <w:ind w:left="0" w:right="0"/>
        <w:rPr>
          <w:rFonts w:hint="eastAsia" w:ascii="Calibri" w:hAnsi="Calibri" w:eastAsiaTheme="minorEastAsia" w:cstheme="minorBidi"/>
          <w:sz w:val="22"/>
          <w:szCs w:val="22"/>
          <w:lang w:val="en-US" w:eastAsia="en-US" w:bidi="ar-SA"/>
        </w:rPr>
      </w:pPr>
      <w:r>
        <w:rPr>
          <w:rFonts w:hint="eastAsia" w:ascii="Calibri" w:hAnsi="Calibri" w:eastAsiaTheme="minorEastAsia" w:cstheme="minorBidi"/>
          <w:sz w:val="22"/>
          <w:szCs w:val="22"/>
          <w:lang w:val="en-US" w:eastAsia="en-US" w:bidi="ar-SA"/>
        </w:rPr>
        <w:t>Plotted on the real zone boundaries, the extra demand clearly piles up in central Naples and around the Napoli Centrale gateway, while the race venue itself</w:t>
      </w:r>
      <w:r>
        <w:rPr>
          <w:rFonts w:hint="eastAsia" w:eastAsia="宋体" w:cstheme="minorBidi"/>
          <w:sz w:val="22"/>
          <w:szCs w:val="22"/>
          <w:lang w:val="en-US" w:eastAsia="zh-CN" w:bidi="ar-SA"/>
        </w:rPr>
        <w:t xml:space="preserve"> Bagnoli Venue </w:t>
      </w:r>
      <w:r>
        <w:rPr>
          <w:rFonts w:hint="eastAsia" w:ascii="Calibri" w:hAnsi="Calibri" w:eastAsiaTheme="minorEastAsia" w:cstheme="minorBidi"/>
          <w:sz w:val="22"/>
          <w:szCs w:val="22"/>
          <w:lang w:val="en-US" w:eastAsia="en-US" w:bidi="ar-SA"/>
        </w:rPr>
        <w:t>picks up a much smaller absolute increase. That fits what we already saw at the line level, where L1 turned out to be the bottleneck. One thing worth noting on the mapping: we show the absolute increase in trips rather than the percentage growth, because percentages can be misleading for rural zones that start from a very low baseline.</w:t>
      </w:r>
    </w:p>
    <w:p w14:paraId="1A7283B7">
      <w:pPr>
        <w:jc w:val="center"/>
      </w:pPr>
      <w:r>
        <w:drawing>
          <wp:inline distT="0" distB="0" distL="114300" distR="114300">
            <wp:extent cx="5486400" cy="3837940"/>
            <wp:effectExtent l="0" t="0" r="0" b="101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486400" cy="3838285"/>
                    </a:xfrm>
                    <a:prstGeom prst="rect">
                      <a:avLst/>
                    </a:prstGeom>
                  </pic:spPr>
                </pic:pic>
              </a:graphicData>
            </a:graphic>
          </wp:inline>
        </w:drawing>
      </w:r>
    </w:p>
    <w:p w14:paraId="4F728401">
      <w:pPr>
        <w:jc w:val="center"/>
        <w:rPr>
          <w:i/>
          <w:sz w:val="18"/>
        </w:rPr>
      </w:pPr>
      <w:r>
        <w:rPr>
          <w:i/>
          <w:sz w:val="18"/>
        </w:rPr>
        <w:t>Fig. 4 — Added demand by zone (tourist-arrival increment, trips/month).</w:t>
      </w:r>
    </w:p>
    <w:p w14:paraId="4A626815">
      <w:pPr>
        <w:keepNext w:val="0"/>
        <w:keepLines w:val="0"/>
        <w:pageBreakBefore w:val="0"/>
        <w:widowControl/>
        <w:kinsoku/>
        <w:wordWrap/>
        <w:overflowPunct/>
        <w:topLinePunct w:val="0"/>
        <w:autoSpaceDE/>
        <w:autoSpaceDN/>
        <w:bidi w:val="0"/>
        <w:adjustRightInd/>
        <w:snapToGrid/>
        <w:spacing w:after="0"/>
        <w:jc w:val="left"/>
        <w:textAlignment w:val="auto"/>
        <w:rPr>
          <w:rFonts w:hint="eastAsia" w:ascii="Calibri" w:hAnsi="Calibri" w:eastAsiaTheme="minorEastAsia" w:cstheme="minorBidi"/>
          <w:sz w:val="22"/>
          <w:szCs w:val="22"/>
          <w:lang w:val="en-US" w:eastAsia="en-US" w:bidi="ar-SA"/>
        </w:rPr>
      </w:pPr>
      <w:r>
        <w:rPr>
          <w:rFonts w:hint="eastAsia" w:ascii="Calibri" w:hAnsi="Calibri" w:eastAsiaTheme="minorEastAsia" w:cstheme="minorBidi"/>
          <w:sz w:val="22"/>
          <w:szCs w:val="22"/>
          <w:lang w:val="en-US" w:eastAsia="en-US" w:bidi="ar-SA"/>
        </w:rPr>
        <w:t>Looking at where the Campania tourist demand actually comes from, most of it is reasonably close: 71% sits within a 45-minute drive of the venues, with a weighted-mean of about 41 minutes. But there's a long tail. Roughly 21% comes from more than an hour out, places like Salerno, Avellino and the Cilento, which have to rely on long road approaches and regional rail to reach the venues.</w:t>
      </w:r>
    </w:p>
    <w:p w14:paraId="7D86EB97">
      <w:pPr>
        <w:keepNext w:val="0"/>
        <w:keepLines w:val="0"/>
        <w:pageBreakBefore w:val="0"/>
        <w:widowControl/>
        <w:kinsoku/>
        <w:wordWrap/>
        <w:overflowPunct/>
        <w:topLinePunct w:val="0"/>
        <w:autoSpaceDE/>
        <w:autoSpaceDN/>
        <w:bidi w:val="0"/>
        <w:adjustRightInd/>
        <w:snapToGrid/>
        <w:spacing w:after="0"/>
        <w:jc w:val="left"/>
        <w:textAlignment w:val="auto"/>
        <w:rPr>
          <w:rFonts w:hint="eastAsia" w:ascii="Calibri" w:hAnsi="Calibri" w:eastAsiaTheme="minorEastAsia" w:cstheme="minorBidi"/>
          <w:sz w:val="22"/>
          <w:szCs w:val="22"/>
          <w:lang w:val="en-US" w:eastAsia="en-US" w:bidi="ar-SA"/>
        </w:rPr>
      </w:pPr>
      <w:r>
        <w:rPr>
          <w:rFonts w:hint="eastAsia" w:ascii="Calibri" w:hAnsi="Calibri" w:eastAsiaTheme="minorEastAsia" w:cstheme="minorBidi"/>
          <w:sz w:val="22"/>
          <w:szCs w:val="22"/>
          <w:lang w:val="en-US" w:eastAsia="en-US" w:bidi="ar-SA"/>
        </w:rPr>
        <w:t>The accessibility map carries one finding the metro V/C analysis structurally cannot see</w:t>
      </w:r>
      <w:r>
        <w:rPr>
          <w:rFonts w:hint="eastAsia" w:eastAsia="宋体" w:cstheme="minorBidi"/>
          <w:sz w:val="22"/>
          <w:szCs w:val="22"/>
          <w:lang w:val="en-US" w:eastAsia="zh-CN" w:bidi="ar-SA"/>
        </w:rPr>
        <w:t>,</w:t>
      </w:r>
      <w:r>
        <w:rPr>
          <w:rFonts w:hint="eastAsia" w:ascii="Calibri" w:hAnsi="Calibri" w:eastAsiaTheme="minorEastAsia" w:cstheme="minorBidi"/>
          <w:sz w:val="22"/>
          <w:szCs w:val="22"/>
          <w:lang w:val="en-US" w:eastAsia="en-US" w:bidi="ar-SA"/>
        </w:rPr>
        <w:t xml:space="preserve"> roughly 21% of the tourist demand originates beyond an hour's drive, in Salerno, Avellino and the Cilento, well outside the metro catchment. These trips do not show up in the line-level V/C because they never start on the metro. But that does not mean they bypass the bottleneck. Regional rail and long-distance road approaches funnel this far-field demand into the Napoli Centrale gateway, where it transfers onto the same central spine, Line 1, that is already the binding constraint. In other words, the 50% transit-share figure used in the V/C model is applied only to demand that can reach the metro directly; the far-field 21% arrives as an additional, downstream load on L1 via the Centrale interchange. This makes the L1 result a conservative one. The true peak pressure on the central corridor is likely higher than the per-line V/C alone suggests, which is precisely why relief has to target the L1Napoli Centrale interchange rather than the network as a whole.</w:t>
      </w:r>
    </w:p>
    <w:p w14:paraId="7B9706F6">
      <w:pPr>
        <w:jc w:val="center"/>
      </w:pPr>
      <w:r>
        <w:drawing>
          <wp:inline distT="0" distB="0" distL="114300" distR="114300">
            <wp:extent cx="5486400" cy="4782820"/>
            <wp:effectExtent l="0" t="0" r="0" b="5080"/>
            <wp:docPr id="4" name="Picture 4" descr="C:/Users/53592/Desktop/infrastructure PW/5.11 fjy/output_charts/B_map_accessibility_osrm.pngB_map_accessibility_os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Users/53592/Desktop/infrastructure PW/5.11 fjy/output_charts/B_map_accessibility_osrm.pngB_map_accessibility_osrm"/>
                    <pic:cNvPicPr>
                      <a:picLocks noChangeAspect="1"/>
                    </pic:cNvPicPr>
                  </pic:nvPicPr>
                  <pic:blipFill>
                    <a:blip r:embed="rId10"/>
                    <a:srcRect l="1600" r="1600"/>
                    <a:stretch>
                      <a:fillRect/>
                    </a:stretch>
                  </pic:blipFill>
                  <pic:spPr>
                    <a:xfrm>
                      <a:off x="0" y="0"/>
                      <a:ext cx="5486400" cy="4782820"/>
                    </a:xfrm>
                    <a:prstGeom prst="rect">
                      <a:avLst/>
                    </a:prstGeom>
                  </pic:spPr>
                </pic:pic>
              </a:graphicData>
            </a:graphic>
          </wp:inline>
        </w:drawing>
      </w:r>
    </w:p>
    <w:p w14:paraId="01D3CA03">
      <w:pPr>
        <w:jc w:val="center"/>
      </w:pPr>
      <w:r>
        <w:rPr>
          <w:i/>
          <w:sz w:val="18"/>
        </w:rPr>
        <w:t>Fig. 5 — Road accessibility to venues</w:t>
      </w:r>
      <w:r>
        <w:rPr>
          <w:rFonts w:hint="eastAsia" w:eastAsia="宋体"/>
          <w:i/>
          <w:sz w:val="18"/>
          <w:lang w:val="en-US" w:eastAsia="zh-CN"/>
        </w:rPr>
        <w:t xml:space="preserve"> -</w:t>
      </w:r>
      <w:r>
        <w:rPr>
          <w:i/>
          <w:sz w:val="18"/>
        </w:rPr>
        <w:t>OSRM.</w:t>
      </w:r>
    </w:p>
    <w:p w14:paraId="0B87E167">
      <w:pPr>
        <w:pStyle w:val="4"/>
      </w:pPr>
      <w:r>
        <w:t>6. Conclusion</w:t>
      </w:r>
    </w:p>
    <w:p w14:paraId="710730F6">
      <w:pPr>
        <w:pStyle w:val="3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eastAsia" w:ascii="Calibri" w:hAnsi="Calibri" w:eastAsiaTheme="minorEastAsia" w:cstheme="minorBidi"/>
          <w:sz w:val="22"/>
          <w:szCs w:val="22"/>
          <w:lang w:val="en-US" w:eastAsia="en-US" w:bidi="ar-SA"/>
        </w:rPr>
      </w:pPr>
      <w:r>
        <w:rPr>
          <w:rFonts w:hint="eastAsia" w:ascii="Calibri" w:hAnsi="Calibri" w:eastAsiaTheme="minorEastAsia" w:cstheme="minorBidi"/>
          <w:sz w:val="22"/>
          <w:szCs w:val="22"/>
          <w:lang w:val="en-US" w:eastAsia="en-US" w:bidi="ar-SA"/>
        </w:rPr>
        <w:t>The system isn't short on capacity overall. Add up the rail capacity serving the regatta area and you get around 24,000 passengers per hour per direction, which comfortably exceeds the total event demand. The real problem is how that capacity is distributed, not how much of it there is.</w:t>
      </w:r>
    </w:p>
    <w:p w14:paraId="71986171">
      <w:pPr>
        <w:pStyle w:val="3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eastAsia" w:ascii="Calibri" w:hAnsi="Calibri" w:eastAsia="宋体" w:cstheme="minorBidi"/>
          <w:sz w:val="22"/>
          <w:szCs w:val="22"/>
          <w:lang w:val="en-US" w:eastAsia="zh-CN" w:bidi="ar-SA"/>
        </w:rPr>
      </w:pPr>
      <w:r>
        <w:rPr>
          <w:rFonts w:hint="eastAsia" w:ascii="Calibri" w:hAnsi="Calibri" w:eastAsiaTheme="minorEastAsia" w:cstheme="minorBidi"/>
          <w:sz w:val="22"/>
          <w:szCs w:val="22"/>
          <w:lang w:val="en-US" w:eastAsia="en-US" w:bidi="ar-SA"/>
        </w:rPr>
        <w:t>The pressure all lands on Metro Line 1. It's the central spine that serves the race village, the Centro Direzionale and the Napoli Centrale gateway, and it's the line that takes the steepest demand growth. On an event day the event pushes it from 0.71 to 0.91, which leaves it with essentially no breathing room, and it tips over into oversaturation once you assume a 60% transit share</w:t>
      </w:r>
      <w:r>
        <w:rPr>
          <w:rFonts w:hint="eastAsia" w:eastAsia="宋体" w:cstheme="minorBidi"/>
          <w:sz w:val="22"/>
          <w:szCs w:val="22"/>
          <w:lang w:val="en-US" w:eastAsia="zh-CN" w:bidi="ar-SA"/>
        </w:rPr>
        <w:t>.</w:t>
      </w:r>
    </w:p>
    <w:p w14:paraId="4D7786BC">
      <w:pPr>
        <w:pStyle w:val="3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eastAsia" w:ascii="Calibri" w:hAnsi="Calibri" w:eastAsiaTheme="minorEastAsia" w:cstheme="minorBidi"/>
          <w:sz w:val="22"/>
          <w:szCs w:val="22"/>
          <w:lang w:val="en-US" w:eastAsia="en-US" w:bidi="ar-SA"/>
        </w:rPr>
      </w:pPr>
      <w:r>
        <w:t xml:space="preserve">The race venue, on the other hand, is the opposite story. Bagnoli and Fuorigrotta are served by three lines Cumana, L2 and L6, </w:t>
      </w:r>
      <w:r>
        <w:rPr>
          <w:rFonts w:hint="eastAsia" w:ascii="Calibri" w:hAnsi="Calibri" w:eastAsiaTheme="minorEastAsia" w:cstheme="minorBidi"/>
          <w:sz w:val="22"/>
          <w:szCs w:val="22"/>
          <w:lang w:val="en-US" w:eastAsia="en-US" w:bidi="ar-SA"/>
        </w:rPr>
        <w:t>which under the baseline 50% transit share carry a V/C of only about 0.51 to 0.70. Even in the most pessimistic 60% case, the busiest of them</w:t>
      </w:r>
      <w:r>
        <w:rPr>
          <w:rFonts w:hint="eastAsia" w:eastAsia="宋体" w:cstheme="minorBidi"/>
          <w:sz w:val="22"/>
          <w:szCs w:val="22"/>
          <w:lang w:val="en-US" w:eastAsia="zh-CN" w:bidi="ar-SA"/>
        </w:rPr>
        <w:t xml:space="preserve"> </w:t>
      </w:r>
      <w:r>
        <w:rPr>
          <w:rFonts w:hint="eastAsia" w:ascii="Calibri" w:hAnsi="Calibri" w:eastAsiaTheme="minorEastAsia" w:cstheme="minorBidi"/>
          <w:sz w:val="22"/>
          <w:szCs w:val="22"/>
          <w:lang w:val="en-US" w:eastAsia="en-US" w:bidi="ar-SA"/>
        </w:rPr>
        <w:t>reaches just 0.84, and none of the three ever crosses 1.0. So while they aren't completely empty, they always hold clear spare capacity relative to L1.</w:t>
      </w:r>
    </w:p>
    <w:p w14:paraId="40802040">
      <w:pPr>
        <w:pStyle w:val="30"/>
        <w:keepNext w:val="0"/>
        <w:keepLines w:val="0"/>
        <w:widowControl/>
        <w:suppressLineNumbers w:val="0"/>
        <w:spacing w:before="0" w:beforeAutospacing="1" w:after="0" w:afterAutospacing="1"/>
        <w:ind w:left="0" w:right="0"/>
      </w:pPr>
      <w:r>
        <w:t>So the fix is to target the L1 and Napoli Centrale corridor specifically, for example by raising peak frequency or diverting some load via Line 6 between Municipio and Mostra, rather than expanding the whole network. The actual service-enhancement design, the shuttle-bus provision, is worked out in the Services-improvement section.</w:t>
      </w:r>
    </w:p>
    <w:p w14:paraId="50E3FF70"/>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6725FE28"/>
    <w:multiLevelType w:val="singleLevel"/>
    <w:tmpl w:val="6725FE28"/>
    <w:lvl w:ilvl="0" w:tentative="0">
      <w:start w:val="2"/>
      <w:numFmt w:val="decimal"/>
      <w:suff w:val="space"/>
      <w:lvlText w:val="%1."/>
      <w:lvlJc w:val="left"/>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F2B35D5"/>
    <w:rsid w:val="35C366DA"/>
    <w:rsid w:val="4C285091"/>
    <w:rsid w:val="52C0299F"/>
    <w:rsid w:val="6F2902A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2"/>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qFormat/>
    <w:uiPriority w:val="99"/>
    <w:rPr>
      <w:sz w:val="24"/>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qFormat/>
    <w:uiPriority w:val="99"/>
  </w:style>
  <w:style w:type="character" w:customStyle="1" w:styleId="137">
    <w:name w:val="Footer Char"/>
    <w:basedOn w:val="133"/>
    <w:link w:val="24"/>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qFormat/>
    <w:uiPriority w:val="99"/>
  </w:style>
  <w:style w:type="character" w:customStyle="1" w:styleId="146">
    <w:name w:val="Body Text 2 Char"/>
    <w:basedOn w:val="133"/>
    <w:link w:val="28"/>
    <w:qFormat/>
    <w:uiPriority w:val="99"/>
  </w:style>
  <w:style w:type="character" w:customStyle="1" w:styleId="147">
    <w:name w:val="Body Text 3 Char"/>
    <w:basedOn w:val="133"/>
    <w:link w:val="17"/>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qFormat/>
    <w:uiPriority w:val="29"/>
    <w:rPr>
      <w:i/>
      <w:iCs/>
      <w:color w:val="000000" w:themeColor="text1"/>
      <w14:textFill>
        <w14:solidFill>
          <w14:schemeClr w14:val="tx1"/>
        </w14:solidFill>
      </w14:textFill>
    </w:rPr>
  </w:style>
  <w:style w:type="character" w:customStyle="1" w:styleId="151">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1492</Words>
  <Characters>7147</Characters>
  <Lines>0</Lines>
  <Paragraphs>0</Paragraphs>
  <TotalTime>15</TotalTime>
  <ScaleCrop>false</ScaleCrop>
  <LinksUpToDate>false</LinksUpToDate>
  <CharactersWithSpaces>8609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you like?</cp:lastModifiedBy>
  <dcterms:modified xsi:type="dcterms:W3CDTF">2026-06-03T18:18:13Z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eyJoZGlkIjoiYjYwNTk3ZjI4ZWY2N2QwOGU0NmU1ODFhZmVkYzVjMDIiLCJ1c2VySWQiOiIzNTU5MTE5MTMifQ==</vt:lpwstr>
  </property>
  <property fmtid="{D5CDD505-2E9C-101B-9397-08002B2CF9AE}" pid="3" name="KSOProductBuildVer">
    <vt:lpwstr>2052-12.1.0.26375</vt:lpwstr>
  </property>
  <property fmtid="{D5CDD505-2E9C-101B-9397-08002B2CF9AE}" pid="4" name="ICV">
    <vt:lpwstr>A9CCAC89C11641C999534C3C4157279F_12</vt:lpwstr>
  </property>
</Properties>
</file>