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Network Capacity &amp; Saturation Analysis</w:t>
      </w:r>
    </w:p>
    <w:p>
      <w:r>
        <w:rPr>
          <w:b/>
          <w:i/>
        </w:rPr>
        <w:t>Can the existing rail system absorb the America’s Cup demand, or will it collapse?</w:t>
      </w:r>
    </w:p>
    <w:p>
      <w:r>
        <w:rPr>
          <w:i/>
        </w:rPr>
        <w:t>(Diagnosis only; service-enhancement measures are covered in the Services-improvement section.)</w:t>
      </w:r>
    </w:p>
    <w:p>
      <w:pPr>
        <w:pStyle w:val="Heading2"/>
      </w:pPr>
      <w:r>
        <w:t>1. Objective</w:t>
      </w:r>
    </w:p>
    <w:p>
      <w:r>
        <w:t>The brief’s headline question is whether Naples’ transport system can absorb the extraordinary America’s Cup demand. We answer it with a volume-to-capacity (V/C) saturation analysis of the rail lines serving the event area, comparing the as-is baseline against the event scenario, complemented by a real road-network accessibility analysis (OSRM).</w:t>
      </w:r>
    </w:p>
    <w:p>
      <w:pPr>
        <w:pStyle w:val="Heading2"/>
      </w:pPr>
      <w:r>
        <w:t>2. Study area — event zones</w:t>
      </w:r>
    </w:p>
    <w:p>
      <w:r>
        <w:t>The demand model concentrates arrivals in 9 traffic zones. Seven came from the demand-forecast destinations; we additionally include zones 2 and 33 (Fuorigrotta / Mostra d’Oltremare), the western rail interchange (Cumana + Line 2 + Line 6) feeding the Bagnoli race course, otherwise omitted.</w:t>
      </w:r>
    </w:p>
    <w:p>
      <w:pPr>
        <w:pStyle w:val="ListBullet"/>
      </w:pPr>
      <w:r>
        <w:t>West corridor (venue): zones 2, 10, 33 — Bagnoli / Fuorigrotta race &amp; tech zone.</w:t>
      </w:r>
    </w:p>
    <w:p>
      <w:pPr>
        <w:pStyle w:val="ListBullet"/>
      </w:pPr>
      <w:r>
        <w:t>Central corridor (gateway + race village): zones 1, 3, 71, 195, 216 — central waterfront and the Napoli Centrale rail gateway.</w:t>
      </w:r>
    </w:p>
    <w:p>
      <w:pPr>
        <w:pStyle w:val="ListBullet"/>
      </w:pPr>
      <w:r>
        <w:t>Zone 73 (Nocera Superiore, ~30 km SE): accommodation outlier on regional rail, reported separately.</w:t>
      </w:r>
    </w:p>
    <w:p>
      <w:pPr>
        <w:pStyle w:val="Heading2"/>
      </w:pPr>
      <w:r>
        <w:t>3.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Side</w:t>
            </w:r>
          </w:p>
        </w:tc>
        <w:tc>
          <w:tcPr>
            <w:tcW w:type="dxa" w:w="4320"/>
          </w:tcPr>
          <w:p>
            <w:r>
              <w:t>Source</w:t>
            </w:r>
          </w:p>
        </w:tc>
      </w:tr>
      <w:tr>
        <w:tc>
          <w:tcPr>
            <w:tcW w:type="dxa" w:w="4320"/>
          </w:tcPr>
          <w:p>
            <w:r>
              <w:t>Demand — tourist increment</w:t>
            </w:r>
          </w:p>
        </w:tc>
        <w:tc>
          <w:tcPr>
            <w:tcW w:type="dxa" w:w="4320"/>
          </w:tcPr>
          <w:p>
            <w:r>
              <w:t>Tourist_AGGREGATE.mtx (11.0 M trips/month region-wide)</w:t>
            </w:r>
          </w:p>
        </w:tc>
      </w:tr>
      <w:tr>
        <w:tc>
          <w:tcPr>
            <w:tcW w:type="dxa" w:w="4320"/>
          </w:tcPr>
          <w:p>
            <w:r>
              <w:t>Demand — background</w:t>
            </w:r>
          </w:p>
        </w:tc>
        <w:tc>
          <w:tcPr>
            <w:tcW w:type="dxa" w:w="4320"/>
          </w:tcPr>
          <w:p>
            <w:r>
              <w:t>TOTAL_flow.mtx − tourist = 98.8 M trips/month (as-is baseline)</w:t>
            </w:r>
          </w:p>
        </w:tc>
      </w:tr>
      <w:tr>
        <w:tc>
          <w:tcPr>
            <w:tcW w:type="dxa" w:w="4320"/>
          </w:tcPr>
          <w:p>
            <w:r>
              <w:t>Supply — line capacity</w:t>
            </w:r>
          </w:p>
        </w:tc>
        <w:tc>
          <w:tcPr>
            <w:tcW w:type="dxa" w:w="4320"/>
          </w:tcPr>
          <w:p>
            <w:r>
              <w:t>Published peak-hour, per-direction figures</w:t>
            </w:r>
          </w:p>
        </w:tc>
      </w:tr>
      <w:tr>
        <w:tc>
          <w:tcPr>
            <w:tcW w:type="dxa" w:w="4320"/>
          </w:tcPr>
          <w:p>
            <w:r>
              <w:t>Road impedance</w:t>
            </w:r>
          </w:p>
        </w:tc>
        <w:tc>
          <w:tcPr>
            <w:tcW w:type="dxa" w:w="4320"/>
          </w:tcPr>
          <w:p>
            <w:r>
              <w:t>distance_real_v2.mtx — 222×222 OSRM door-to-door driving time (min)</w:t>
            </w:r>
          </w:p>
        </w:tc>
      </w:tr>
      <w:tr>
        <w:tc>
          <w:tcPr>
            <w:tcW w:type="dxa" w:w="4320"/>
          </w:tcPr>
          <w:p>
            <w:r>
              <w:t>Zone geometry</w:t>
            </w:r>
          </w:p>
        </w:tc>
        <w:tc>
          <w:tcPr>
            <w:tcW w:type="dxa" w:w="4320"/>
          </w:tcPr>
          <w:p>
            <w:r>
              <w:t>Campania.shp — 222 zones, WGS84</w:t>
            </w:r>
          </w:p>
        </w:tc>
      </w:tr>
    </w:tbl>
    <w:p>
      <w:r>
        <w:t>Region-wide the event adds +11% of trips; in the central event zones the increment reaches +23%, peaking at +50% in the Napoli Centrale gateway zone. Rail peak-hour, per-direction capacity: Metro L1 ≈ 12,000 · Metro L6 ≈ 7,200 · Metro L2 ≈ 3,600 · Cumana ≈ 1,050.</w:t>
      </w:r>
    </w:p>
    <w:p>
      <w:pPr>
        <w:pStyle w:val="Heading2"/>
      </w:pPr>
      <w:r>
        <w:t>4. Method</w:t>
      </w:r>
    </w:p>
    <w:p>
      <w:r>
        <w:t>Demand chain (per zone): monthly arrivals (matrix column-sum) ÷ 30.4 days → daily; × 8% peak-hour share → peak-hour arrivals (one direction); × 50% transit share → peak-hour rail demand.</w:t>
      </w:r>
    </w:p>
    <w:p>
      <w:r>
        <w:t>The 8% peak-hour share is derived from the as-is data (morning peak slot 05:00–08:59 = 21.8% of daily over 4 h ≈ 5.5%/h, × within-peak factor ~1.4). Transit share is an assumption (the mobile-phone data only labels train/air) and is tested at 40/50/60%.</w:t>
      </w:r>
    </w:p>
    <w:p>
      <w:r>
        <w:t>Saturation: V/C = peak-hour rail demand / line capacity, with level-of-service bands (A–C &lt;0.60; D 0.60–0.80; E 0.80–1.0 near-capacity; F &gt;1.0 oversaturated / “collapse”). 0.80 is taken as the practical near-capacity threshold for peak rail loading. Two calibers: corridor-level and per-line.</w:t>
      </w:r>
    </w:p>
    <w:p>
      <w:pPr>
        <w:pStyle w:val="Heading2"/>
      </w:pPr>
      <w:r>
        <w:t>5. Results</w:t>
      </w:r>
    </w:p>
    <w:p>
      <w:r>
        <w:t>Per-line V/C (transit share 50%):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Line</w:t>
            </w:r>
          </w:p>
        </w:tc>
        <w:tc>
          <w:tcPr>
            <w:tcW w:type="dxa" w:w="2160"/>
          </w:tcPr>
          <w:p>
            <w:r>
              <w:t>Baseline V/C</w:t>
            </w:r>
          </w:p>
        </w:tc>
        <w:tc>
          <w:tcPr>
            <w:tcW w:type="dxa" w:w="2160"/>
          </w:tcPr>
          <w:p>
            <w:r>
              <w:t>Event V/C</w:t>
            </w:r>
          </w:p>
        </w:tc>
        <w:tc>
          <w:tcPr>
            <w:tcW w:type="dxa" w:w="2160"/>
          </w:tcPr>
          <w:p>
            <w:r>
              <w:t>LOS</w:t>
            </w:r>
          </w:p>
        </w:tc>
      </w:tr>
      <w:tr>
        <w:tc>
          <w:tcPr>
            <w:tcW w:type="dxa" w:w="2160"/>
          </w:tcPr>
          <w:p>
            <w:r>
              <w:t>Metro L1</w:t>
            </w:r>
          </w:p>
        </w:tc>
        <w:tc>
          <w:tcPr>
            <w:tcW w:type="dxa" w:w="2160"/>
          </w:tcPr>
          <w:p>
            <w:r>
              <w:t>0.69</w:t>
            </w:r>
          </w:p>
        </w:tc>
        <w:tc>
          <w:tcPr>
            <w:tcW w:type="dxa" w:w="2160"/>
          </w:tcPr>
          <w:p>
            <w:r>
              <w:t>0.84</w:t>
            </w:r>
          </w:p>
        </w:tc>
        <w:tc>
          <w:tcPr>
            <w:tcW w:type="dxa" w:w="2160"/>
          </w:tcPr>
          <w:p>
            <w:r>
              <w:t>E — near-capacity</w:t>
            </w:r>
          </w:p>
        </w:tc>
      </w:tr>
      <w:tr>
        <w:tc>
          <w:tcPr>
            <w:tcW w:type="dxa" w:w="2160"/>
          </w:tcPr>
          <w:p>
            <w:r>
              <w:t>Metro L6</w:t>
            </w:r>
          </w:p>
        </w:tc>
        <w:tc>
          <w:tcPr>
            <w:tcW w:type="dxa" w:w="2160"/>
          </w:tcPr>
          <w:p>
            <w:r>
              <w:t>0.54</w:t>
            </w:r>
          </w:p>
        </w:tc>
        <w:tc>
          <w:tcPr>
            <w:tcW w:type="dxa" w:w="2160"/>
          </w:tcPr>
          <w:p>
            <w:r>
              <w:t>0.62</w:t>
            </w:r>
          </w:p>
        </w:tc>
        <w:tc>
          <w:tcPr>
            <w:tcW w:type="dxa" w:w="2160"/>
          </w:tcPr>
          <w:p>
            <w:r>
              <w:t>D</w:t>
            </w:r>
          </w:p>
        </w:tc>
      </w:tr>
      <w:tr>
        <w:tc>
          <w:tcPr>
            <w:tcW w:type="dxa" w:w="2160"/>
          </w:tcPr>
          <w:p>
            <w:r>
              <w:t>Metro L2</w:t>
            </w:r>
          </w:p>
        </w:tc>
        <w:tc>
          <w:tcPr>
            <w:tcW w:type="dxa" w:w="2160"/>
          </w:tcPr>
          <w:p>
            <w:r>
              <w:t>0.54</w:t>
            </w:r>
          </w:p>
        </w:tc>
        <w:tc>
          <w:tcPr>
            <w:tcW w:type="dxa" w:w="2160"/>
          </w:tcPr>
          <w:p>
            <w:r>
              <w:t>0.62</w:t>
            </w:r>
          </w:p>
        </w:tc>
        <w:tc>
          <w:tcPr>
            <w:tcW w:type="dxa" w:w="2160"/>
          </w:tcPr>
          <w:p>
            <w:r>
              <w:t>D</w:t>
            </w:r>
          </w:p>
        </w:tc>
      </w:tr>
      <w:tr>
        <w:tc>
          <w:tcPr>
            <w:tcW w:type="dxa" w:w="2160"/>
          </w:tcPr>
          <w:p>
            <w:r>
              <w:t>Cumana</w:t>
            </w:r>
          </w:p>
        </w:tc>
        <w:tc>
          <w:tcPr>
            <w:tcW w:type="dxa" w:w="2160"/>
          </w:tcPr>
          <w:p>
            <w:r>
              <w:t>0.46</w:t>
            </w:r>
          </w:p>
        </w:tc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A–C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02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chart_VC_by_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2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Fig. 1 — Peak-hour V/C by rail line (baseline vs event). Orange = near-capacity, red = oversaturated.</w:t>
      </w:r>
    </w:p>
    <w:p>
      <w:r>
        <w:t>Sensitivity: at 40% transit share L1 sits at 0.67; at 50% it reaches 0.84; at 60% it crosses 1.01 (oversaturated). All other lines stay below 0.75. L1 is the only line at risk.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58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chart_sensitiv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5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Fig. 2 — Event V/C vs assumed transit mode share. Only Line 1 crosses 1.0.</w:t>
      </w:r>
    </w:p>
    <w:p>
      <w:r>
        <w:t>Spatial pattern (choropleth on real zone boundaries): the added demand concentrates on central Naples and the Napoli Centrale gateway, while the race venue (Bagnoli/Fuorigrotta) absorbs a much smaller absolute increment — consistent with the line-level result that L1 is the binding constraint. (We map the absolute increment, not growth-%, which is misleading for low-baseline rural zones.)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3822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map_saturation_shapef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8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Fig. 3 — Added demand by zone (tourist-arrival increment, trips/month). Central Naples absorbs the highest absolute load; the venue is lighter.</w:t>
      </w:r>
    </w:p>
    <w:p>
      <w:r>
        <w:t>Road accessibility (OSRM): of the tourist demand originating within Campania, 73% is within a 45-minute drive of the venues (weighted-mean 37 min); but ~20% originates beyond 60 minutes (Salerno/Avellino/Cilento), depending on long road approaches and regional rail.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971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_map_accessibility_shapef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7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Fig. 4 — Road accessibility to venues (OSRM). Drive time to nearest venue per zone (green = near, red = far).</w:t>
      </w:r>
    </w:p>
    <w:p>
      <w:pPr>
        <w:pStyle w:val="Heading2"/>
      </w:pPr>
      <w:r>
        <w:t>6. Conclusion</w:t>
      </w:r>
    </w:p>
    <w:p>
      <w:r>
        <w:t>The system does not face an aggregate capacity shortfall — total regatta-area rail capacity (~24,000 pax/h/dir) exceeds total event demand. The problem is the distribution of that capacity, not its quantity:</w:t>
      </w:r>
    </w:p>
    <w:p>
      <w:pPr>
        <w:pStyle w:val="ListBullet"/>
      </w:pPr>
      <w:r>
        <w:t>Metro Line 1 is the binding constraint — the central spine serving the race village and the Napoli Centrale gateway. The event pushes it from 0.69 to 0.84 (near-capacity), leaving no reserve, and it tips into oversaturation (&gt;1.0) under a 60% transit share. The steepest demand growth (+50%) lands on this corridor.</w:t>
      </w:r>
    </w:p>
    <w:p>
      <w:pPr>
        <w:pStyle w:val="ListBullet"/>
      </w:pPr>
      <w:r>
        <w:t>The race venue (Bagnoli/Fuorigrotta) is over-served — three lines carry only V/C ≈ 0.35–0.62.</w:t>
      </w:r>
    </w:p>
    <w:p>
      <w:r>
        <w:t>The implication is targeted relief of the L1 / Napoli Centrale corridor (e.g. peak frequency increase, diversion via Line 6 Municipio↔Mostra), rather than network-wide expansion. The concrete service-enhancement design (shuttle-bus provision) is developed in the Services-improvement section.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