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A212B4">
      <w:r>
        <w:rPr>
          <w:rFonts w:ascii="宋体" w:hAnsi="宋体" w:eastAsia="宋体" w:cs="宋体"/>
          <w:sz w:val="24"/>
          <w:szCs w:val="24"/>
        </w:rPr>
        <w:t>Our travel time matrix was generated using the OSRM routing engine, which is based on OpenStreetMap road network data. For each of the 222 zones, we extracted the centroid coordinates from the project's zone shapefile, then queried the OSRM table API to compute door-to-door driving times between all zone pairs, resulting in a 222×222 matrix with approximately 49,000 OD pairs. The values reflect actual road network conditions including speed limits, road hierarchy and turn restrictions, rather than straight-line distance estimates.</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D1349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2026-05-26T23:46:49Z</dcterms:created>
  <dc:creator>53592</dc:creator>
  <cp:lastModifiedBy>you like?</cp:lastModifiedBy>
  <dcterms:modified xsi:type="dcterms:W3CDTF">2026-05-26T23:46:54Z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eyJoZGlkIjoiYjYwNTk3ZjI4ZWY2N2QwOGU0NmU1ODFhZmVkYzVjMDIiLCJ1c2VySWQiOiIzNTU5MTE5MTMifQ==</vt:lpwstr>
  </property>
  <property fmtid="{D5CDD505-2E9C-101B-9397-08002B2CF9AE}" pid="4" name="ICV">
    <vt:lpwstr>E83E597F56B0451C89DAF6EFFD97FC35_12</vt:lpwstr>
  </property>
</Properties>
</file>