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Network Capacity &amp; Saturation Analysis</w:t>
      </w:r>
    </w:p>
    <w:p>
      <w:r>
        <w:rPr>
          <w:b/>
          <w:i/>
        </w:rPr>
        <w:t>Can the existing rail system absorb the America’s Cup demand, or will it collapse?</w:t>
      </w:r>
    </w:p>
    <w:p>
      <w:r>
        <w:rPr>
          <w:i/>
        </w:rPr>
        <w:t>(Diagnosis only; service-enhancement measures are covered in the Services-improvement section.)</w:t>
      </w:r>
    </w:p>
    <w:p>
      <w:pPr>
        <w:pStyle w:val="Heading2"/>
      </w:pPr>
      <w:r>
        <w:t>1. Objective</w:t>
      </w:r>
    </w:p>
    <w:p>
      <w:r>
        <w:t>The brief’s headline question is whether Naples’ transport system can absorb the extraordinary America’s Cup demand. We answer it with a volume-to-capacity (V/C) saturation analysis of the rail lines serving the event area, comparing the as-is baseline against the event scenario, complemented by a real road-network accessibility analysis (OSRM).</w:t>
      </w:r>
    </w:p>
    <w:p>
      <w:pPr>
        <w:pStyle w:val="Heading2"/>
      </w:pPr>
      <w:r>
        <w:t>2. Study area — event zones</w:t>
      </w:r>
    </w:p>
    <w:p>
      <w:r>
        <w:t>The demand model concentrates arrivals in the central-Naples and venue zones (identities taken from the official zone coordinates). Two corridors are analysed, plus the Napoli Centrale rail hub:</w:t>
      </w:r>
    </w:p>
    <w:p>
      <w:pPr>
        <w:pStyle w:val="ListBullet"/>
      </w:pPr>
      <w:r>
        <w:t>West corridor (venue): zones 10, 2, 33 — Bagnoli race &amp; tech zone and the Fuorigrotta / Mostra western interchange (Cumana + Line 2 + Line 6).</w:t>
      </w:r>
    </w:p>
    <w:p>
      <w:pPr>
        <w:pStyle w:val="ListBullet"/>
      </w:pPr>
      <w:r>
        <w:t>Central corridor (waterfront + gateway): zones 3, 1, 71, 195, 216 and zone 79 — central waterfront, Centro Direzionale and the Napoli Centrale rail hub (Lines 1+2). The station hub proper is zone 79 (~0.8 km from the platforms); zone 1 is the adjacent Centro Direzionale district.</w:t>
      </w:r>
    </w:p>
    <w:p>
      <w:pPr>
        <w:pStyle w:val="ListBullet"/>
      </w:pPr>
      <w:r>
        <w:t>The airport (zone 191) and the Pompeii / Vesuvius tourist zones (68, 212) sit on separate networks (Alibus / Circumvesuviana–EAV regional rail) and are discussed qualitatively, not modelled in the metro V/C.</w:t>
      </w:r>
    </w:p>
    <w:p>
      <w:pPr>
        <w:pStyle w:val="Heading2"/>
      </w:pPr>
      <w:r>
        <w:t>3. Data</w:t>
      </w:r>
    </w:p>
    <w:tbl>
      <w:tblPr>
        <w:tblStyle w:val="LightGrid-Accent1"/>
        <w:tblW w:type="auto" w:w="0"/>
        <w:tblLook w:firstColumn="1" w:firstRow="1" w:lastColumn="0" w:lastRow="0" w:noHBand="0" w:noVBand="1" w:val="04A0"/>
      </w:tblPr>
      <w:tblGrid>
        <w:gridCol w:w="4320"/>
        <w:gridCol w:w="4320"/>
      </w:tblGrid>
      <w:tr>
        <w:tc>
          <w:tcPr>
            <w:tcW w:type="dxa" w:w="4320"/>
          </w:tcPr>
          <w:p>
            <w:r>
              <w:t>Side</w:t>
            </w:r>
          </w:p>
        </w:tc>
        <w:tc>
          <w:tcPr>
            <w:tcW w:type="dxa" w:w="4320"/>
          </w:tcPr>
          <w:p>
            <w:r>
              <w:t>Source</w:t>
            </w:r>
          </w:p>
        </w:tc>
      </w:tr>
      <w:tr>
        <w:tc>
          <w:tcPr>
            <w:tcW w:type="dxa" w:w="4320"/>
          </w:tcPr>
          <w:p>
            <w:r>
              <w:t>Demand — tourist increment</w:t>
            </w:r>
          </w:p>
        </w:tc>
        <w:tc>
          <w:tcPr>
            <w:tcW w:type="dxa" w:w="4320"/>
          </w:tcPr>
          <w:p>
            <w:r>
              <w:t>Tourist_AGGREGATE.mtx (11.0 M trips/month region-wide)</w:t>
            </w:r>
          </w:p>
        </w:tc>
      </w:tr>
      <w:tr>
        <w:tc>
          <w:tcPr>
            <w:tcW w:type="dxa" w:w="4320"/>
          </w:tcPr>
          <w:p>
            <w:r>
              <w:t>Demand — background</w:t>
            </w:r>
          </w:p>
        </w:tc>
        <w:tc>
          <w:tcPr>
            <w:tcW w:type="dxa" w:w="4320"/>
          </w:tcPr>
          <w:p>
            <w:r>
              <w:t>TOTAL_flow.mtx − tourist = 98.8 M trips/month (as-is baseline)</w:t>
            </w:r>
          </w:p>
        </w:tc>
      </w:tr>
      <w:tr>
        <w:tc>
          <w:tcPr>
            <w:tcW w:type="dxa" w:w="4320"/>
          </w:tcPr>
          <w:p>
            <w:r>
              <w:t>Supply — line capacity</w:t>
            </w:r>
          </w:p>
        </w:tc>
        <w:tc>
          <w:tcPr>
            <w:tcW w:type="dxa" w:w="4320"/>
          </w:tcPr>
          <w:p>
            <w:r>
              <w:t>Published peak-hour, per-direction figures</w:t>
            </w:r>
          </w:p>
        </w:tc>
      </w:tr>
      <w:tr>
        <w:tc>
          <w:tcPr>
            <w:tcW w:type="dxa" w:w="4320"/>
          </w:tcPr>
          <w:p>
            <w:r>
              <w:t>Road impedance</w:t>
            </w:r>
          </w:p>
        </w:tc>
        <w:tc>
          <w:tcPr>
            <w:tcW w:type="dxa" w:w="4320"/>
          </w:tcPr>
          <w:p>
            <w:r>
              <w:t>distance_real_v2.mtx — 222×222 OSRM door-to-door driving time (min)</w:t>
            </w:r>
          </w:p>
        </w:tc>
      </w:tr>
      <w:tr>
        <w:tc>
          <w:tcPr>
            <w:tcW w:type="dxa" w:w="4320"/>
          </w:tcPr>
          <w:p>
            <w:r>
              <w:t>Zone geometry</w:t>
            </w:r>
          </w:p>
        </w:tc>
        <w:tc>
          <w:tcPr>
            <w:tcW w:type="dxa" w:w="4320"/>
          </w:tcPr>
          <w:p>
            <w:r>
              <w:t>Campania.shp — 222 zones, WGS84</w:t>
            </w:r>
          </w:p>
        </w:tc>
      </w:tr>
    </w:tbl>
    <w:p>
      <w:r>
        <w:t>Inputs: background_od.mtx (as-is, 98.8 M trips/month) + total_new_project_flow (PROJECT event scenario, 108.4 M); the tourist surge = PROJECT − background = 9.6 M trips. Region-wide the event adds +9.7%; concentrated on the 20-day event window this raises event-day arrivals into the 9 zones by +25% on average (Race Village +45%, Centro Direzionale +74%, Bagnoli +30%, Napoli Centrale hub +16%). Rail peak-hour, per-direction capacity: Metro L1 ≈ 12,000 · L6 ≈ 7,200 · L2 ≈ 3,600 · Cumana ≈ 1,050.</w:t>
      </w:r>
    </w:p>
    <w:p>
      <w:pPr>
        <w:pStyle w:val="Heading2"/>
      </w:pPr>
      <w:r>
        <w:t>4. Method</w:t>
      </w:r>
    </w:p>
    <w:p>
      <w:r>
        <w:t>Demand chain (per zone): as-is daily = background monthly column-sum ÷ 30.4 days; event-day = as-is daily + (PROJECT − background) column-sum ÷ 20 event days (the surge spread over the days visitors are present); × 8% peak-hour share → peak-hour arrivals (one direction); × 50% transit share → peak-hour rail demand.</w:t>
      </w:r>
    </w:p>
    <w:p>
      <w:r>
        <w:t>The 8% peak-hour share is derived from the as-is data (morning peak slot 05:00–08:59 = 21.8% of daily over 4 h ≈ 5.5%/h, × within-peak factor ~1.4). Transit share is an assumption (the mobile-phone data only labels train/air) and is tested at 40/50/60%.</w:t>
      </w:r>
    </w:p>
    <w:p>
      <w:r>
        <w:t>Saturation: V/C = peak-hour rail demand / line capacity, with level-of-service bands (A–C &lt;0.60; D 0.60–0.80; E 0.80–1.0 near-capacity; F &gt;1.0 oversaturated / “collapse”). 0.80 is taken as the practical near-capacity threshold for peak rail loading. Two calibers: corridor-level and per-line.</w:t>
      </w:r>
    </w:p>
    <w:p>
      <w:pPr>
        <w:pStyle w:val="Heading2"/>
      </w:pPr>
      <w:r>
        <w:t>5. Results</w:t>
      </w:r>
    </w:p>
    <w:p>
      <w:pPr/>
      <w:r>
        <w:t>Spatial overview — venues and rail lines: the map below (real Campania zone boundaries) locates the event anchors (Bagnoli venue, Race Village, Napoli Centrale rail hub), the western interchange (Fuorigrotta/Mostra) and the four analysed rail corridors, colour-coded by event-day V/C (peak hour, 50% transit share).</w:t>
      </w:r>
    </w:p>
    <w:p>
      <w:pPr>
        <w:jc w:val="center"/>
      </w:pPr>
      <w:r>
        <w:drawing>
          <wp:inline xmlns:a="http://schemas.openxmlformats.org/drawingml/2006/main" xmlns:pic="http://schemas.openxmlformats.org/drawingml/2006/picture">
            <wp:extent cx="5486400" cy="3312688"/>
            <wp:docPr id="5" name="Picture 5"/>
            <wp:cNvGraphicFramePr>
              <a:graphicFrameLocks noChangeAspect="1"/>
            </wp:cNvGraphicFramePr>
            <a:graphic>
              <a:graphicData uri="http://schemas.openxmlformats.org/drawingml/2006/picture">
                <pic:pic>
                  <pic:nvPicPr>
                    <pic:cNvPr id="0" name="B_map_venues_rail_schematic.png"/>
                    <pic:cNvPicPr/>
                  </pic:nvPicPr>
                  <pic:blipFill>
                    <a:blip r:embed="rId13"/>
                    <a:stretch>
                      <a:fillRect/>
                    </a:stretch>
                  </pic:blipFill>
                  <pic:spPr>
                    <a:xfrm>
                      <a:off x="0" y="0"/>
                      <a:ext cx="5486400" cy="3312688"/>
                    </a:xfrm>
                    <a:prstGeom prst="rect"/>
                  </pic:spPr>
                </pic:pic>
              </a:graphicData>
            </a:graphic>
          </wp:inline>
        </w:drawing>
      </w:r>
    </w:p>
    <w:p>
      <w:pPr>
        <w:jc w:val="center"/>
      </w:pPr>
      <w:r>
        <w:rPr>
          <w:i/>
          <w:sz w:val="18"/>
        </w:rPr>
        <w:t>Fig. 1 — Event venues and the four analysed rail corridors (Metro L1/L6/L2 and Cumana), colour-coded by peak-hour event-day V/C (50% transit share). Line geometry follows major stations (illustrative, not official track GIS).</w:t>
      </w:r>
    </w:p>
    <w:p>
      <w:r>
        <w:t>Per-line V/C (transit share 50%):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Line</w:t>
            </w:r>
          </w:p>
        </w:tc>
        <w:tc>
          <w:tcPr>
            <w:tcW w:type="dxa" w:w="2160"/>
          </w:tcPr>
          <w:p>
            <w:r>
              <w:t>Baseline V/C</w:t>
            </w:r>
          </w:p>
        </w:tc>
        <w:tc>
          <w:tcPr>
            <w:tcW w:type="dxa" w:w="2160"/>
          </w:tcPr>
          <w:p>
            <w:r>
              <w:t>Event V/C</w:t>
            </w:r>
          </w:p>
        </w:tc>
        <w:tc>
          <w:tcPr>
            <w:tcW w:type="dxa" w:w="2160"/>
          </w:tcPr>
          <w:p>
            <w:r>
              <w:t>LOS</w:t>
            </w:r>
          </w:p>
        </w:tc>
      </w:tr>
      <w:tr>
        <w:tc>
          <w:tcPr>
            <w:tcW w:type="dxa" w:w="2160"/>
          </w:tcPr>
          <w:p>
            <w:r>
              <w:t>Metro L1</w:t>
            </w:r>
          </w:p>
        </w:tc>
        <w:tc>
          <w:tcPr>
            <w:tcW w:type="dxa" w:w="2160"/>
          </w:tcPr>
          <w:p>
            <w:r>
              <w:t>0.69</w:t>
            </w:r>
          </w:p>
        </w:tc>
        <w:tc>
          <w:tcPr>
            <w:tcW w:type="dxa" w:w="2160"/>
          </w:tcPr>
          <w:p>
            <w:r>
              <w:t>0.84</w:t>
            </w:r>
          </w:p>
        </w:tc>
        <w:tc>
          <w:tcPr>
            <w:tcW w:type="dxa" w:w="2160"/>
          </w:tcPr>
          <w:p>
            <w:r>
              <w:t>E — near-capacity</w:t>
            </w:r>
          </w:p>
        </w:tc>
      </w:tr>
      <w:tr>
        <w:tc>
          <w:tcPr>
            <w:tcW w:type="dxa" w:w="2160"/>
          </w:tcPr>
          <w:p>
            <w:r>
              <w:t>Metro L6</w:t>
            </w:r>
          </w:p>
        </w:tc>
        <w:tc>
          <w:tcPr>
            <w:tcW w:type="dxa" w:w="2160"/>
          </w:tcPr>
          <w:p>
            <w:r>
              <w:t>0.54</w:t>
            </w:r>
          </w:p>
        </w:tc>
        <w:tc>
          <w:tcPr>
            <w:tcW w:type="dxa" w:w="2160"/>
          </w:tcPr>
          <w:p>
            <w:r>
              <w:t>0.62</w:t>
            </w:r>
          </w:p>
        </w:tc>
        <w:tc>
          <w:tcPr>
            <w:tcW w:type="dxa" w:w="2160"/>
          </w:tcPr>
          <w:p>
            <w:r>
              <w:t>D</w:t>
            </w:r>
          </w:p>
        </w:tc>
      </w:tr>
      <w:tr>
        <w:tc>
          <w:tcPr>
            <w:tcW w:type="dxa" w:w="2160"/>
          </w:tcPr>
          <w:p>
            <w:r>
              <w:t>Metro L2</w:t>
            </w:r>
          </w:p>
        </w:tc>
        <w:tc>
          <w:tcPr>
            <w:tcW w:type="dxa" w:w="2160"/>
          </w:tcPr>
          <w:p>
            <w:r>
              <w:t>0.54</w:t>
            </w:r>
          </w:p>
        </w:tc>
        <w:tc>
          <w:tcPr>
            <w:tcW w:type="dxa" w:w="2160"/>
          </w:tcPr>
          <w:p>
            <w:r>
              <w:t>0.62</w:t>
            </w:r>
          </w:p>
        </w:tc>
        <w:tc>
          <w:tcPr>
            <w:tcW w:type="dxa" w:w="2160"/>
          </w:tcPr>
          <w:p>
            <w:r>
              <w:t>D</w:t>
            </w:r>
          </w:p>
        </w:tc>
      </w:tr>
      <w:tr>
        <w:tc>
          <w:tcPr>
            <w:tcW w:type="dxa" w:w="2160"/>
          </w:tcPr>
          <w:p>
            <w:r>
              <w:t>Cumana</w:t>
            </w:r>
          </w:p>
        </w:tc>
        <w:tc>
          <w:tcPr>
            <w:tcW w:type="dxa" w:w="2160"/>
          </w:tcPr>
          <w:p>
            <w:r>
              <w:t>0.46</w:t>
            </w:r>
          </w:p>
        </w:tc>
        <w:tc>
          <w:tcPr>
            <w:tcW w:type="dxa" w:w="2160"/>
          </w:tcPr>
          <w:p>
            <w:r>
              <w:t>0.50</w:t>
            </w:r>
          </w:p>
        </w:tc>
        <w:tc>
          <w:tcPr>
            <w:tcW w:type="dxa" w:w="2160"/>
          </w:tcPr>
          <w:p>
            <w:r>
              <w:t>A–C</w:t>
            </w:r>
          </w:p>
        </w:tc>
      </w:tr>
    </w:tbl>
    <w:p>
      <w:pPr>
        <w:jc w:val="center"/>
      </w:pPr>
      <w:r>
        <w:drawing>
          <wp:inline xmlns:a="http://schemas.openxmlformats.org/drawingml/2006/main" xmlns:pic="http://schemas.openxmlformats.org/drawingml/2006/picture">
            <wp:extent cx="5486400" cy="3302264"/>
            <wp:docPr id="1" name="Picture 1"/>
            <wp:cNvGraphicFramePr>
              <a:graphicFrameLocks noChangeAspect="1"/>
            </wp:cNvGraphicFramePr>
            <a:graphic>
              <a:graphicData uri="http://schemas.openxmlformats.org/drawingml/2006/picture">
                <pic:pic>
                  <pic:nvPicPr>
                    <pic:cNvPr id="0" name="B_chart_VC_by_line.png"/>
                    <pic:cNvPicPr/>
                  </pic:nvPicPr>
                  <pic:blipFill>
                    <a:blip r:embed="rId9"/>
                    <a:stretch>
                      <a:fillRect/>
                    </a:stretch>
                  </pic:blipFill>
                  <pic:spPr>
                    <a:xfrm>
                      <a:off x="0" y="0"/>
                      <a:ext cx="5486400" cy="3302264"/>
                    </a:xfrm>
                    <a:prstGeom prst="rect"/>
                  </pic:spPr>
                </pic:pic>
              </a:graphicData>
            </a:graphic>
          </wp:inline>
        </w:drawing>
      </w:r>
    </w:p>
    <w:p>
      <w:pPr>
        <w:jc w:val="center"/>
      </w:pPr>
      <w:r>
        <w:rPr>
          <w:i/>
          <w:sz w:val="18"/>
        </w:rPr>
        <w:t>Fig. 2 — Peak-hour V/C by rail line (baseline vs event). Orange = near-capacity, red = oversaturated.</w:t>
      </w:r>
    </w:p>
    <w:p>
      <w:r>
        <w:t>Sensitivity: at 40% transit share L1 sits at 0.73; at 50% it reaches 0.91; at 60% it crosses 1.09 (oversaturated). The corridor-level caliber (all central demand on L1) gives event-day V/C = 1.20. All other lines stay at or below 0.84. L1 is the only line at risk.</w:t>
      </w:r>
    </w:p>
    <w:p>
      <w:pPr>
        <w:jc w:val="center"/>
      </w:pPr>
      <w:r>
        <w:drawing>
          <wp:inline xmlns:a="http://schemas.openxmlformats.org/drawingml/2006/main" xmlns:pic="http://schemas.openxmlformats.org/drawingml/2006/picture">
            <wp:extent cx="5486400" cy="3315980"/>
            <wp:docPr id="2" name="Picture 2"/>
            <wp:cNvGraphicFramePr>
              <a:graphicFrameLocks noChangeAspect="1"/>
            </wp:cNvGraphicFramePr>
            <a:graphic>
              <a:graphicData uri="http://schemas.openxmlformats.org/drawingml/2006/picture">
                <pic:pic>
                  <pic:nvPicPr>
                    <pic:cNvPr id="0" name="B_chart_sensitivity.png"/>
                    <pic:cNvPicPr/>
                  </pic:nvPicPr>
                  <pic:blipFill>
                    <a:blip r:embed="rId10"/>
                    <a:stretch>
                      <a:fillRect/>
                    </a:stretch>
                  </pic:blipFill>
                  <pic:spPr>
                    <a:xfrm>
                      <a:off x="0" y="0"/>
                      <a:ext cx="5486400" cy="3315980"/>
                    </a:xfrm>
                    <a:prstGeom prst="rect"/>
                  </pic:spPr>
                </pic:pic>
              </a:graphicData>
            </a:graphic>
          </wp:inline>
        </w:drawing>
      </w:r>
    </w:p>
    <w:p>
      <w:pPr>
        <w:jc w:val="center"/>
      </w:pPr>
      <w:r>
        <w:rPr>
          <w:i/>
          <w:sz w:val="18"/>
        </w:rPr>
        <w:t>Fig. 3 — Event V/C vs assumed transit mode share. Only Line 1 crosses 1.0.</w:t>
      </w:r>
    </w:p>
    <w:p>
      <w:r>
        <w:t>Spatial pattern (choropleth on real zone boundaries): the added demand concentrates on central Naples and the Napoli Centrale gateway, while the race venue (Bagnoli/Fuorigrotta) absorbs a much smaller absolute increment — consistent with the line-level result that L1 is the binding constraint. (We map the absolute increment, not growth-%, which is misleading for low-baseline rural zones.)</w:t>
      </w:r>
    </w:p>
    <w:p>
      <w:pPr>
        <w:jc w:val="center"/>
      </w:pPr>
      <w:r>
        <w:drawing>
          <wp:inline xmlns:a="http://schemas.openxmlformats.org/drawingml/2006/main" xmlns:pic="http://schemas.openxmlformats.org/drawingml/2006/picture">
            <wp:extent cx="5486400" cy="3838285"/>
            <wp:docPr id="3" name="Picture 3"/>
            <wp:cNvGraphicFramePr>
              <a:graphicFrameLocks noChangeAspect="1"/>
            </wp:cNvGraphicFramePr>
            <a:graphic>
              <a:graphicData uri="http://schemas.openxmlformats.org/drawingml/2006/picture">
                <pic:pic>
                  <pic:nvPicPr>
                    <pic:cNvPr id="0" name="B_map_saturation_shapefile.png"/>
                    <pic:cNvPicPr/>
                  </pic:nvPicPr>
                  <pic:blipFill>
                    <a:blip r:embed="rId11"/>
                    <a:stretch>
                      <a:fillRect/>
                    </a:stretch>
                  </pic:blipFill>
                  <pic:spPr>
                    <a:xfrm>
                      <a:off x="0" y="0"/>
                      <a:ext cx="5486400" cy="3838285"/>
                    </a:xfrm>
                    <a:prstGeom prst="rect"/>
                  </pic:spPr>
                </pic:pic>
              </a:graphicData>
            </a:graphic>
          </wp:inline>
        </w:drawing>
      </w:r>
    </w:p>
    <w:p>
      <w:pPr>
        <w:jc w:val="center"/>
      </w:pPr>
      <w:r>
        <w:rPr>
          <w:i/>
          <w:sz w:val="18"/>
        </w:rPr>
        <w:t>Fig. 4 — Added demand by zone (tourist-arrival increment, trips/month). Central Naples absorbs the highest absolute load; the venue is lighter.</w:t>
      </w:r>
    </w:p>
    <w:p>
      <w:r>
        <w:t>Road accessibility (OSRM): of the tourist demand originating within Campania, 71% is within a 45-minute drive of the venues (weighted-mean 41 min); but ~21% originates beyond 60 minutes (Salerno/Avellino/Cilento), depending on long road approaches and regional rail.</w:t>
      </w:r>
    </w:p>
    <w:p>
      <w:pPr>
        <w:jc w:val="center"/>
      </w:pPr>
      <w:r>
        <w:drawing>
          <wp:inline xmlns:a="http://schemas.openxmlformats.org/drawingml/2006/main" xmlns:pic="http://schemas.openxmlformats.org/drawingml/2006/picture">
            <wp:extent cx="5486400" cy="4783043"/>
            <wp:docPr id="4" name="Picture 4"/>
            <wp:cNvGraphicFramePr>
              <a:graphicFrameLocks noChangeAspect="1"/>
            </wp:cNvGraphicFramePr>
            <a:graphic>
              <a:graphicData uri="http://schemas.openxmlformats.org/drawingml/2006/picture">
                <pic:pic>
                  <pic:nvPicPr>
                    <pic:cNvPr id="0" name="B_map_accessibility_shapefile.png"/>
                    <pic:cNvPicPr/>
                  </pic:nvPicPr>
                  <pic:blipFill>
                    <a:blip r:embed="rId12"/>
                    <a:stretch>
                      <a:fillRect/>
                    </a:stretch>
                  </pic:blipFill>
                  <pic:spPr>
                    <a:xfrm>
                      <a:off x="0" y="0"/>
                      <a:ext cx="5486400" cy="4783043"/>
                    </a:xfrm>
                    <a:prstGeom prst="rect"/>
                  </pic:spPr>
                </pic:pic>
              </a:graphicData>
            </a:graphic>
          </wp:inline>
        </w:drawing>
      </w:r>
    </w:p>
    <w:p>
      <w:pPr>
        <w:jc w:val="center"/>
      </w:pPr>
      <w:r>
        <w:rPr>
          <w:i/>
          <w:sz w:val="18"/>
        </w:rPr>
        <w:t>Fig. 5 — Road accessibility to venues (OSRM). Drive time to nearest venue per zone (green = near, red = far).</w:t>
      </w:r>
    </w:p>
    <w:p>
      <w:pPr>
        <w:pStyle w:val="Heading2"/>
      </w:pPr>
      <w:r>
        <w:t>6. Conclusion</w:t>
      </w:r>
    </w:p>
    <w:p>
      <w:r>
        <w:t>The system does not face an aggregate capacity shortfall — total regatta-area rail capacity (~24,000 pax/h/dir) exceeds total event demand. The problem is the distribution of that capacity, not its quantity:</w:t>
      </w:r>
    </w:p>
    <w:p>
      <w:pPr>
        <w:pStyle w:val="ListBullet"/>
      </w:pPr>
      <w:r>
        <w:t>Metro Line 1 is the binding constraint — the central spine serving the race village, Centro Direzionale and the Napoli Centrale gateway. The event pushes it from 0.71 to 0.91 on an event day, leaving essentially no reserve, and it tips into oversaturation (&gt;1.0) under a 60% transit share or the corridor-concentration caliber (1.20). The steepest demand growth lands on this corridor.</w:t>
      </w:r>
    </w:p>
    <w:p>
      <w:pPr>
        <w:pStyle w:val="ListBullet"/>
      </w:pPr>
      <w:r>
        <w:t>The race venue (Bagnoli/Fuorigrotta) is over-served — three lines (Cumana, L2, L6) carry only V/C ≈ 0.51–0.70, i.e. ample spare capacity.</w:t>
      </w:r>
    </w:p>
    <w:p>
      <w:r>
        <w:t>The implication is targeted relief of the L1 / Napoli Centrale corridor (e.g. peak frequency increase, diversion via Line 6 Municipio↔Mostra), rather than network-wide expansion. The concrete service-enhancement design (shuttle-bus provision) is developed in the Services-improvement section.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