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1B27" w14:textId="329725E1"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t>Course Outline</w:t>
      </w:r>
      <w:r w:rsidRPr="00DC5DF7">
        <w:rPr>
          <w:rFonts w:ascii="Century Gothic" w:eastAsia="Times New Roman" w:hAnsi="Century Gothic" w:cs="Times New Roman"/>
          <w:color w:val="000000"/>
          <w:u w:val="single"/>
          <w:lang w:eastAsia="en-CA"/>
        </w:rPr>
        <w:t xml:space="preserve">: </w:t>
      </w:r>
      <w:r w:rsidRPr="00DC5DF7">
        <w:rPr>
          <w:rFonts w:ascii="Century Gothic" w:eastAsia="Times New Roman" w:hAnsi="Century Gothic" w:cs="Times New Roman"/>
          <w:b/>
          <w:bCs/>
          <w:color w:val="000000"/>
          <w:u w:val="single"/>
          <w:lang w:eastAsia="en-CA"/>
        </w:rPr>
        <w:t>SCH 3U1 Summer eClass 201</w:t>
      </w:r>
      <w:r w:rsidR="009B4E32">
        <w:rPr>
          <w:rFonts w:ascii="Century Gothic" w:eastAsia="Times New Roman" w:hAnsi="Century Gothic" w:cs="Times New Roman"/>
          <w:b/>
          <w:bCs/>
          <w:color w:val="000000"/>
          <w:u w:val="single"/>
          <w:lang w:eastAsia="en-CA"/>
        </w:rPr>
        <w:t>9</w:t>
      </w:r>
    </w:p>
    <w:p w14:paraId="562F82F4"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p>
    <w:p w14:paraId="77BFB808"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Course :</w:t>
      </w:r>
      <w:r w:rsidRPr="00DC5DF7">
        <w:rPr>
          <w:rFonts w:ascii="Century Gothic" w:eastAsia="Times New Roman" w:hAnsi="Century Gothic" w:cs="Times New Roman"/>
          <w:color w:val="000000"/>
          <w:lang w:eastAsia="en-CA"/>
        </w:rPr>
        <w:t xml:space="preserve">  Grade 11 University Chemistry            </w:t>
      </w:r>
    </w:p>
    <w:p w14:paraId="1104129B"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Course Code:</w:t>
      </w:r>
      <w:r w:rsidRPr="00DC5DF7">
        <w:rPr>
          <w:rFonts w:ascii="Century Gothic" w:eastAsia="Times New Roman" w:hAnsi="Century Gothic" w:cs="Times New Roman"/>
          <w:color w:val="000000"/>
          <w:lang w:eastAsia="en-CA"/>
        </w:rPr>
        <w:t xml:space="preserve">  SCH 3U1</w:t>
      </w:r>
    </w:p>
    <w:p w14:paraId="644A75FC" w14:textId="1186C8D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Teacher:</w:t>
      </w:r>
      <w:r w:rsidRPr="00DC5DF7">
        <w:rPr>
          <w:rFonts w:ascii="Century Gothic" w:eastAsia="Times New Roman" w:hAnsi="Century Gothic" w:cs="Times New Roman"/>
          <w:color w:val="000000"/>
          <w:lang w:eastAsia="en-CA"/>
        </w:rPr>
        <w:t xml:space="preserve">  M</w:t>
      </w:r>
      <w:r w:rsidR="009B4E32">
        <w:rPr>
          <w:rFonts w:ascii="Century Gothic" w:eastAsia="Times New Roman" w:hAnsi="Century Gothic" w:cs="Times New Roman"/>
          <w:color w:val="000000"/>
          <w:lang w:eastAsia="en-CA"/>
        </w:rPr>
        <w:t>r</w:t>
      </w:r>
      <w:r w:rsidRPr="00DC5DF7">
        <w:rPr>
          <w:rFonts w:ascii="Century Gothic" w:eastAsia="Times New Roman" w:hAnsi="Century Gothic" w:cs="Times New Roman"/>
          <w:color w:val="000000"/>
          <w:lang w:eastAsia="en-CA"/>
        </w:rPr>
        <w:t xml:space="preserve">s. </w:t>
      </w:r>
      <w:r w:rsidR="009B4E32">
        <w:rPr>
          <w:rFonts w:ascii="Century Gothic" w:eastAsia="Times New Roman" w:hAnsi="Century Gothic" w:cs="Times New Roman"/>
          <w:color w:val="000000"/>
          <w:lang w:eastAsia="en-CA"/>
        </w:rPr>
        <w:t>Ada Esonwanne</w:t>
      </w:r>
    </w:p>
    <w:p w14:paraId="179D2EC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p>
    <w:p w14:paraId="04191151"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t>Contact Information</w:t>
      </w:r>
    </w:p>
    <w:p w14:paraId="50BA15A9" w14:textId="2FDB8721" w:rsidR="00DC5DF7" w:rsidRPr="00DC5DF7" w:rsidRDefault="00A73883" w:rsidP="00DC5DF7">
      <w:pPr>
        <w:spacing w:after="0" w:line="240" w:lineRule="auto"/>
        <w:ind w:firstLine="100"/>
        <w:rPr>
          <w:rFonts w:ascii="Times New Roman" w:eastAsia="Times New Roman" w:hAnsi="Times New Roman" w:cs="Times New Roman"/>
          <w:sz w:val="24"/>
          <w:szCs w:val="24"/>
          <w:lang w:eastAsia="en-CA"/>
        </w:rPr>
      </w:pPr>
      <w:hyperlink r:id="rId4" w:history="1">
        <w:r w:rsidR="009B4E32" w:rsidRPr="003D3509">
          <w:rPr>
            <w:rStyle w:val="Hyperlink"/>
            <w:rFonts w:ascii="Century Gothic" w:eastAsia="Times New Roman" w:hAnsi="Century Gothic" w:cs="Times New Roman"/>
            <w:shd w:val="clear" w:color="auto" w:fill="FFFFFF"/>
            <w:lang w:eastAsia="en-CA"/>
          </w:rPr>
          <w:t>adaobi.esonwanne@tcdsb.org</w:t>
        </w:r>
      </w:hyperlink>
    </w:p>
    <w:p w14:paraId="1B0AD1BE" w14:textId="21ACB295" w:rsidR="00DC5DF7" w:rsidRPr="00DC5DF7" w:rsidRDefault="00A73883" w:rsidP="00AA6CF7">
      <w:pPr>
        <w:spacing w:after="0" w:line="240" w:lineRule="auto"/>
        <w:ind w:firstLine="100"/>
        <w:rPr>
          <w:rFonts w:ascii="Times New Roman" w:eastAsia="Times New Roman" w:hAnsi="Times New Roman" w:cs="Times New Roman"/>
          <w:sz w:val="24"/>
          <w:szCs w:val="24"/>
          <w:lang w:eastAsia="en-CA"/>
        </w:rPr>
      </w:pPr>
      <w:hyperlink r:id="rId5" w:history="1">
        <w:r w:rsidR="009B4E32" w:rsidRPr="003D3509">
          <w:rPr>
            <w:rStyle w:val="Hyperlink"/>
            <w:rFonts w:ascii="Century Gothic" w:eastAsia="Times New Roman" w:hAnsi="Century Gothic" w:cs="Times New Roman"/>
            <w:shd w:val="clear" w:color="auto" w:fill="FFFFFF"/>
            <w:lang w:eastAsia="en-CA"/>
          </w:rPr>
          <w:t>esonwaa@tcdsb.mail.elearningontario.ca</w:t>
        </w:r>
      </w:hyperlink>
    </w:p>
    <w:p w14:paraId="091D26B1"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p>
    <w:p w14:paraId="3E61FE69"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t>Course Description</w:t>
      </w:r>
    </w:p>
    <w:p w14:paraId="5069DF21" w14:textId="77777777" w:rsidR="00DC5DF7" w:rsidRPr="00DC5DF7" w:rsidRDefault="00DC5DF7" w:rsidP="00DC5DF7">
      <w:pPr>
        <w:spacing w:after="0" w:line="240" w:lineRule="auto"/>
        <w:jc w:val="both"/>
        <w:rPr>
          <w:rFonts w:ascii="Times New Roman" w:eastAsia="Times New Roman" w:hAnsi="Times New Roman" w:cs="Times New Roman"/>
          <w:sz w:val="24"/>
          <w:szCs w:val="24"/>
          <w:lang w:eastAsia="en-CA"/>
        </w:rPr>
      </w:pPr>
      <w:r w:rsidRPr="00DC5DF7">
        <w:rPr>
          <w:rFonts w:ascii="Century Gothic" w:eastAsia="Times New Roman" w:hAnsi="Century Gothic" w:cs="Times New Roman"/>
          <w:i/>
          <w:iCs/>
          <w:color w:val="000000"/>
          <w:lang w:eastAsia="en-CA"/>
        </w:rPr>
        <w:t>This course enables students to deepen their understanding of chemistry through the study of the properties of chemicals and chemical bonds; chemical relations and quantitative relationships in those reactions; solutions and solubility; and atmospheric chemistry and the behaviour of gases. Students will further develop their analytical skills and investigate the qualitative and quantitative properties of matter, as well as the impact of some common chemical reactions on society and the environment.</w:t>
      </w:r>
    </w:p>
    <w:p w14:paraId="08A1DECA"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p>
    <w:p w14:paraId="44ECB124" w14:textId="77777777" w:rsidR="00DC5DF7" w:rsidRPr="00DC5DF7" w:rsidRDefault="00DC5DF7" w:rsidP="00DC5DF7">
      <w:pPr>
        <w:spacing w:after="0" w:line="240" w:lineRule="auto"/>
        <w:ind w:left="100"/>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t>Assessment and Evaluations</w:t>
      </w:r>
    </w:p>
    <w:p w14:paraId="4754900A" w14:textId="77777777" w:rsidR="00DC5DF7" w:rsidRPr="00DC5DF7" w:rsidRDefault="00DC5DF7" w:rsidP="00DC5DF7">
      <w:pPr>
        <w:spacing w:after="0" w:line="240" w:lineRule="auto"/>
        <w:ind w:left="100"/>
        <w:jc w:val="both"/>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Students will be provided with numerous and varied opportunities to demonstrate the full extent of their achievement of the curriculum expectations. Students will be assessed on their knowledge and understanding, thinking, communication and application skills. Assessments will be both formative and summative and will be in the form of assignments, research assignments, lab reports, quizzes and tests. Each unit will conclude with a summative unit test. The culminating activity consists of a written final examination. As required by the Ministry of Education, students will be assessed in the four areas of the achievement chart. The chart below provides suggested percentages for each category.</w:t>
      </w:r>
    </w:p>
    <w:p w14:paraId="1226A0EF"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457"/>
        <w:gridCol w:w="1276"/>
      </w:tblGrid>
      <w:tr w:rsidR="00DC5DF7" w:rsidRPr="00DC5DF7" w14:paraId="48145BEC" w14:textId="77777777" w:rsidTr="00DC5DF7">
        <w:tc>
          <w:tcPr>
            <w:tcW w:w="0" w:type="auto"/>
            <w:tcBorders>
              <w:top w:val="single" w:sz="6" w:space="0" w:color="000000"/>
              <w:left w:val="single" w:sz="6" w:space="0" w:color="000000"/>
              <w:bottom w:val="single" w:sz="6" w:space="0" w:color="000000"/>
            </w:tcBorders>
            <w:shd w:val="clear" w:color="auto" w:fill="7FD3C2"/>
            <w:vAlign w:val="center"/>
            <w:hideMark/>
          </w:tcPr>
          <w:p w14:paraId="6EF8A75F"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Assessment Category </w:t>
            </w:r>
          </w:p>
        </w:tc>
        <w:tc>
          <w:tcPr>
            <w:tcW w:w="0" w:type="auto"/>
            <w:tcBorders>
              <w:top w:val="single" w:sz="6" w:space="0" w:color="000000"/>
              <w:bottom w:val="single" w:sz="6" w:space="0" w:color="000000"/>
              <w:right w:val="single" w:sz="6" w:space="0" w:color="000000"/>
            </w:tcBorders>
            <w:shd w:val="clear" w:color="auto" w:fill="7FD3C2"/>
            <w:vAlign w:val="center"/>
            <w:hideMark/>
          </w:tcPr>
          <w:p w14:paraId="5439CA57"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Percentage </w:t>
            </w:r>
          </w:p>
        </w:tc>
      </w:tr>
      <w:tr w:rsidR="00DC5DF7" w:rsidRPr="00DC5DF7" w14:paraId="0737A3A9"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17514A"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Knowledge and Understanding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965495" w14:textId="77777777" w:rsidR="00DC5DF7" w:rsidRPr="00DC5DF7" w:rsidRDefault="00DC5DF7" w:rsidP="00DC5DF7">
            <w:pPr>
              <w:spacing w:before="100" w:after="10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30</w:t>
            </w:r>
          </w:p>
        </w:tc>
      </w:tr>
      <w:tr w:rsidR="00DC5DF7" w:rsidRPr="00DC5DF7" w14:paraId="56C59EDD"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8E4177"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Thinking and Inquiry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725F79" w14:textId="77777777" w:rsidR="00DC5DF7" w:rsidRPr="00DC5DF7" w:rsidRDefault="00DC5DF7" w:rsidP="00DC5DF7">
            <w:pPr>
              <w:spacing w:before="100" w:after="10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30</w:t>
            </w:r>
          </w:p>
        </w:tc>
      </w:tr>
      <w:tr w:rsidR="00DC5DF7" w:rsidRPr="00DC5DF7" w14:paraId="57189668"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6C7280"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Communication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71A01F" w14:textId="77777777" w:rsidR="00DC5DF7" w:rsidRPr="00DC5DF7" w:rsidRDefault="00DC5DF7" w:rsidP="00DC5DF7">
            <w:pPr>
              <w:spacing w:before="100" w:after="10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20</w:t>
            </w:r>
          </w:p>
        </w:tc>
      </w:tr>
      <w:tr w:rsidR="00DC5DF7" w:rsidRPr="00DC5DF7" w14:paraId="21CE4F97"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4F091E"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Application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1DAEF9" w14:textId="77777777" w:rsidR="00DC5DF7" w:rsidRPr="00DC5DF7" w:rsidRDefault="00DC5DF7" w:rsidP="00DC5DF7">
            <w:pPr>
              <w:spacing w:before="100" w:after="10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20</w:t>
            </w:r>
          </w:p>
        </w:tc>
      </w:tr>
    </w:tbl>
    <w:p w14:paraId="333F7DEF" w14:textId="77777777" w:rsidR="00AA6CF7" w:rsidRDefault="00DC5DF7" w:rsidP="00DC5DF7">
      <w:pPr>
        <w:shd w:val="clear" w:color="auto" w:fill="FFFFFF"/>
        <w:spacing w:before="100" w:after="280" w:line="240" w:lineRule="auto"/>
        <w:rPr>
          <w:rFonts w:ascii="Times New Roman" w:eastAsia="Times New Roman" w:hAnsi="Times New Roman" w:cs="Times New Roman"/>
          <w:sz w:val="24"/>
          <w:szCs w:val="24"/>
          <w:lang w:eastAsia="en-CA"/>
        </w:rPr>
      </w:pPr>
      <w:r w:rsidRPr="00DC5DF7">
        <w:rPr>
          <w:rFonts w:ascii="Times New Roman" w:eastAsia="Times New Roman" w:hAnsi="Times New Roman" w:cs="Times New Roman"/>
          <w:sz w:val="24"/>
          <w:szCs w:val="24"/>
          <w:lang w:eastAsia="en-CA"/>
        </w:rPr>
        <w:t> </w:t>
      </w:r>
    </w:p>
    <w:p w14:paraId="11C54E5E" w14:textId="77777777" w:rsidR="00AA6CF7" w:rsidRDefault="00AA6CF7" w:rsidP="00DC5DF7">
      <w:pPr>
        <w:shd w:val="clear" w:color="auto" w:fill="FFFFFF"/>
        <w:spacing w:before="100" w:after="280" w:line="240" w:lineRule="auto"/>
        <w:rPr>
          <w:rFonts w:ascii="Century Gothic" w:eastAsia="Times New Roman" w:hAnsi="Century Gothic" w:cs="Times New Roman"/>
          <w:b/>
          <w:bCs/>
          <w:color w:val="000000"/>
          <w:u w:val="single"/>
          <w:lang w:eastAsia="en-CA"/>
        </w:rPr>
      </w:pPr>
    </w:p>
    <w:p w14:paraId="3F4FC220" w14:textId="77777777" w:rsidR="00AA6CF7" w:rsidRDefault="00AA6CF7" w:rsidP="00DC5DF7">
      <w:pPr>
        <w:shd w:val="clear" w:color="auto" w:fill="FFFFFF"/>
        <w:spacing w:before="100" w:after="280" w:line="240" w:lineRule="auto"/>
        <w:rPr>
          <w:rFonts w:ascii="Century Gothic" w:eastAsia="Times New Roman" w:hAnsi="Century Gothic" w:cs="Times New Roman"/>
          <w:b/>
          <w:bCs/>
          <w:color w:val="000000"/>
          <w:u w:val="single"/>
          <w:lang w:eastAsia="en-CA"/>
        </w:rPr>
      </w:pPr>
    </w:p>
    <w:p w14:paraId="4EDFB824" w14:textId="77777777" w:rsidR="00AA6CF7" w:rsidRDefault="00AA6CF7" w:rsidP="00DC5DF7">
      <w:pPr>
        <w:shd w:val="clear" w:color="auto" w:fill="FFFFFF"/>
        <w:spacing w:before="100" w:after="280" w:line="240" w:lineRule="auto"/>
        <w:rPr>
          <w:rFonts w:ascii="Century Gothic" w:eastAsia="Times New Roman" w:hAnsi="Century Gothic" w:cs="Times New Roman"/>
          <w:b/>
          <w:bCs/>
          <w:color w:val="000000"/>
          <w:u w:val="single"/>
          <w:lang w:eastAsia="en-CA"/>
        </w:rPr>
      </w:pPr>
    </w:p>
    <w:p w14:paraId="4BF3FC75" w14:textId="282281F1" w:rsidR="00DC5DF7" w:rsidRPr="00DC5DF7" w:rsidRDefault="00DC5DF7" w:rsidP="00DC5DF7">
      <w:pPr>
        <w:shd w:val="clear" w:color="auto" w:fill="FFFFFF"/>
        <w:spacing w:before="100" w:after="28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lastRenderedPageBreak/>
        <w:t>Final Grade</w:t>
      </w:r>
    </w:p>
    <w:p w14:paraId="6A28ED84" w14:textId="77777777" w:rsidR="00DC5DF7" w:rsidRPr="00DC5DF7" w:rsidRDefault="00DC5DF7" w:rsidP="00DC5DF7">
      <w:pPr>
        <w:shd w:val="clear" w:color="auto" w:fill="FFFFFF"/>
        <w:spacing w:after="28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The final grade will be determined as follows (in accordance with Ministry of Education standards):</w:t>
      </w:r>
    </w:p>
    <w:tbl>
      <w:tblPr>
        <w:tblW w:w="0" w:type="auto"/>
        <w:tblCellMar>
          <w:top w:w="15" w:type="dxa"/>
          <w:left w:w="15" w:type="dxa"/>
          <w:bottom w:w="15" w:type="dxa"/>
          <w:right w:w="15" w:type="dxa"/>
        </w:tblCellMar>
        <w:tblLook w:val="04A0" w:firstRow="1" w:lastRow="0" w:firstColumn="1" w:lastColumn="0" w:noHBand="0" w:noVBand="1"/>
      </w:tblPr>
      <w:tblGrid>
        <w:gridCol w:w="6175"/>
        <w:gridCol w:w="535"/>
      </w:tblGrid>
      <w:tr w:rsidR="00DC5DF7" w:rsidRPr="00DC5DF7" w14:paraId="516F3116"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2CD910"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Term Work</w:t>
            </w:r>
            <w:r w:rsidRPr="00DC5DF7">
              <w:rPr>
                <w:rFonts w:ascii="Century Gothic" w:eastAsia="Times New Roman" w:hAnsi="Century Gothic" w:cs="Times New Roman"/>
                <w:color w:val="000000"/>
                <w:lang w:eastAsia="en-CA"/>
              </w:rPr>
              <w:br/>
              <w:t xml:space="preserve">Based on evaluations conducted throughout the course.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901B2C"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70% </w:t>
            </w:r>
          </w:p>
        </w:tc>
      </w:tr>
      <w:tr w:rsidR="00DC5DF7" w:rsidRPr="00DC5DF7" w14:paraId="754D8D23" w14:textId="77777777" w:rsidTr="00DC5DF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BB0B7C"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Summative Evaluation</w:t>
            </w:r>
            <w:r w:rsidRPr="00DC5DF7">
              <w:rPr>
                <w:rFonts w:ascii="Century Gothic" w:eastAsia="Times New Roman" w:hAnsi="Century Gothic" w:cs="Times New Roman"/>
                <w:color w:val="000000"/>
                <w:lang w:eastAsia="en-CA"/>
              </w:rPr>
              <w:br/>
              <w:t>A final evaluation in the form of an exam.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45C80"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30% </w:t>
            </w:r>
          </w:p>
        </w:tc>
      </w:tr>
    </w:tbl>
    <w:p w14:paraId="3B2C749F" w14:textId="77777777" w:rsidR="00DC5DF7" w:rsidRPr="00DC5DF7" w:rsidRDefault="00DC5DF7" w:rsidP="00DC5DF7">
      <w:pPr>
        <w:shd w:val="clear" w:color="auto" w:fill="FFFFFF"/>
        <w:spacing w:before="100" w:after="28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*Unless otherwise indicated, all assignments will be submitted using the dropbox for that assignment.</w:t>
      </w:r>
    </w:p>
    <w:p w14:paraId="3382C9CF" w14:textId="77777777" w:rsidR="00DC5DF7" w:rsidRPr="00DC5DF7" w:rsidRDefault="00DC5DF7" w:rsidP="00DC5DF7">
      <w:pPr>
        <w:spacing w:after="0" w:line="240" w:lineRule="auto"/>
        <w:ind w:firstLine="100"/>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 </w:t>
      </w:r>
      <w:r w:rsidRPr="00DC5DF7">
        <w:rPr>
          <w:rFonts w:ascii="Century Gothic" w:eastAsia="Times New Roman" w:hAnsi="Century Gothic" w:cs="Times New Roman"/>
          <w:color w:val="000000"/>
          <w:shd w:val="clear" w:color="auto" w:fill="FFFFFF"/>
          <w:lang w:eastAsia="en-CA"/>
        </w:rPr>
        <w:t xml:space="preserve">Students must comply with the TCDSB's </w:t>
      </w:r>
      <w:hyperlink r:id="rId6" w:history="1">
        <w:r w:rsidRPr="00DC5DF7">
          <w:rPr>
            <w:rFonts w:ascii="Century Gothic" w:eastAsia="Times New Roman" w:hAnsi="Century Gothic" w:cs="Times New Roman"/>
            <w:color w:val="3300CC"/>
            <w:u w:val="single"/>
            <w:shd w:val="clear" w:color="auto" w:fill="FFFFFF"/>
            <w:lang w:eastAsia="en-CA"/>
          </w:rPr>
          <w:t>Code of Online Conduct</w:t>
        </w:r>
      </w:hyperlink>
      <w:r w:rsidRPr="00DC5DF7">
        <w:rPr>
          <w:rFonts w:ascii="Century Gothic" w:eastAsia="Times New Roman" w:hAnsi="Century Gothic" w:cs="Times New Roman"/>
          <w:color w:val="000000"/>
          <w:shd w:val="clear" w:color="auto" w:fill="FFFFFF"/>
          <w:lang w:eastAsia="en-CA"/>
        </w:rPr>
        <w:t xml:space="preserve"> </w:t>
      </w:r>
    </w:p>
    <w:p w14:paraId="3B84E011" w14:textId="77777777" w:rsidR="00DC5DF7" w:rsidRPr="00DC5DF7" w:rsidRDefault="00DC5DF7" w:rsidP="00DC5DF7">
      <w:pPr>
        <w:shd w:val="clear" w:color="auto" w:fill="FFFFFF"/>
        <w:spacing w:before="280" w:after="28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u w:val="single"/>
          <w:lang w:eastAsia="en-CA"/>
        </w:rPr>
        <w:t>Learning Skills</w:t>
      </w:r>
    </w:p>
    <w:p w14:paraId="7394CC28" w14:textId="77777777" w:rsidR="00DC5DF7" w:rsidRPr="00DC5DF7" w:rsidRDefault="00DC5DF7" w:rsidP="00DC5DF7">
      <w:pPr>
        <w:shd w:val="clear" w:color="auto" w:fill="FFFFFF"/>
        <w:spacing w:after="28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The following Learning Skills rubric can be used by online teachers when assessing Learning Skills: </w:t>
      </w:r>
    </w:p>
    <w:tbl>
      <w:tblPr>
        <w:tblW w:w="0" w:type="auto"/>
        <w:tblCellMar>
          <w:top w:w="15" w:type="dxa"/>
          <w:left w:w="15" w:type="dxa"/>
          <w:bottom w:w="15" w:type="dxa"/>
          <w:right w:w="15" w:type="dxa"/>
        </w:tblCellMar>
        <w:tblLook w:val="04A0" w:firstRow="1" w:lastRow="0" w:firstColumn="1" w:lastColumn="0" w:noHBand="0" w:noVBand="1"/>
      </w:tblPr>
      <w:tblGrid>
        <w:gridCol w:w="1765"/>
        <w:gridCol w:w="1889"/>
        <w:gridCol w:w="1900"/>
        <w:gridCol w:w="1888"/>
        <w:gridCol w:w="1902"/>
      </w:tblGrid>
      <w:tr w:rsidR="00DC5DF7" w:rsidRPr="00DC5DF7" w14:paraId="52F72B4D"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2E690E86"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Criteria </w:t>
            </w:r>
          </w:p>
        </w:tc>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0F5EE50D"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Needs Improvement </w:t>
            </w:r>
          </w:p>
        </w:tc>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4685EA4E"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Satisfactory </w:t>
            </w:r>
          </w:p>
        </w:tc>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1A7A9039"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Good </w:t>
            </w:r>
          </w:p>
        </w:tc>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6AFBA509" w14:textId="77777777" w:rsidR="00DC5DF7" w:rsidRPr="00DC5DF7" w:rsidRDefault="00DC5DF7" w:rsidP="00DC5DF7">
            <w:pPr>
              <w:spacing w:after="0" w:line="240" w:lineRule="auto"/>
              <w:jc w:val="center"/>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Excellent </w:t>
            </w:r>
          </w:p>
        </w:tc>
      </w:tr>
      <w:tr w:rsidR="00DC5DF7" w:rsidRPr="00DC5DF7" w14:paraId="1C9F4132"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6F450B80"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Works Independently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6D7283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Needs repeated directions to clarify and begin assignments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72F4DA7"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Needs some directions to clarify and begin assignments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C2E0E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Rarely needs directions to clarify and begin assignments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B3BB518"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Does not need directions to clarify or begin assignments </w:t>
            </w:r>
          </w:p>
        </w:tc>
      </w:tr>
      <w:tr w:rsidR="00DC5DF7" w:rsidRPr="00DC5DF7" w14:paraId="1106A98A"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2494EF16"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Teamwork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0A4E342"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Rarely demonstrates participation with classmates by attending or reading chats and threaded discussions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0AEFA4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Sometimes demonstrates participation with classmates by attending or reading chats and threaded discussions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3C50C9A"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Often demonstrates participation with classmates by attending or reading chats and threaded discussions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98150D5"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Consistently demonstrates participation with classmates by attending or reading chats and threaded discussions </w:t>
            </w:r>
          </w:p>
        </w:tc>
      </w:tr>
      <w:tr w:rsidR="00DC5DF7" w:rsidRPr="00DC5DF7" w14:paraId="7C91C0AA"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47A2C26A"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Organization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A092796"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Limited organization and time management skills </w:t>
            </w:r>
            <w:r w:rsidRPr="00DC5DF7">
              <w:rPr>
                <w:rFonts w:ascii="Century Gothic" w:eastAsia="Times New Roman" w:hAnsi="Century Gothic" w:cs="Times New Roman"/>
                <w:color w:val="000000"/>
                <w:lang w:eastAsia="en-CA"/>
              </w:rPr>
              <w:br/>
              <w:t xml:space="preserve">Does not meet deadlines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C407F7B"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Some organization and time management skills </w:t>
            </w:r>
            <w:r w:rsidRPr="00DC5DF7">
              <w:rPr>
                <w:rFonts w:ascii="Century Gothic" w:eastAsia="Times New Roman" w:hAnsi="Century Gothic" w:cs="Times New Roman"/>
                <w:color w:val="000000"/>
                <w:lang w:eastAsia="en-CA"/>
              </w:rPr>
              <w:br/>
              <w:t xml:space="preserve">Sometimes meets deadlines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67714B"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Good organization and time management skills </w:t>
            </w:r>
            <w:r w:rsidRPr="00DC5DF7">
              <w:rPr>
                <w:rFonts w:ascii="Century Gothic" w:eastAsia="Times New Roman" w:hAnsi="Century Gothic" w:cs="Times New Roman"/>
                <w:color w:val="000000"/>
                <w:lang w:eastAsia="en-CA"/>
              </w:rPr>
              <w:br/>
              <w:t xml:space="preserve">Frequently meets deadlines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8721B64"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Exemplary organization and time management skills </w:t>
            </w:r>
            <w:r w:rsidRPr="00DC5DF7">
              <w:rPr>
                <w:rFonts w:ascii="Century Gothic" w:eastAsia="Times New Roman" w:hAnsi="Century Gothic" w:cs="Times New Roman"/>
                <w:color w:val="000000"/>
                <w:lang w:eastAsia="en-CA"/>
              </w:rPr>
              <w:br/>
              <w:t xml:space="preserve">Consistently meets deadlines </w:t>
            </w:r>
          </w:p>
        </w:tc>
      </w:tr>
      <w:tr w:rsidR="00DC5DF7" w:rsidRPr="00DC5DF7" w14:paraId="3C42B9B4"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7E9924D4"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lastRenderedPageBreak/>
              <w:t xml:space="preserve">Work Habits/ Homework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426C895"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Homework is frequently incomplete </w:t>
            </w:r>
            <w:r w:rsidRPr="00DC5DF7">
              <w:rPr>
                <w:rFonts w:ascii="Century Gothic" w:eastAsia="Times New Roman" w:hAnsi="Century Gothic" w:cs="Times New Roman"/>
                <w:color w:val="000000"/>
                <w:lang w:eastAsia="en-CA"/>
              </w:rPr>
              <w:br/>
              <w:t xml:space="preserve">No motivation evident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EE9E7C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Homework is occasionally complete </w:t>
            </w:r>
            <w:r w:rsidRPr="00DC5DF7">
              <w:rPr>
                <w:rFonts w:ascii="Century Gothic" w:eastAsia="Times New Roman" w:hAnsi="Century Gothic" w:cs="Times New Roman"/>
                <w:color w:val="000000"/>
                <w:lang w:eastAsia="en-CA"/>
              </w:rPr>
              <w:br/>
              <w:t xml:space="preserve">Some motivation evident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E6E7DFD"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Homework is regularly complete </w:t>
            </w:r>
            <w:r w:rsidRPr="00DC5DF7">
              <w:rPr>
                <w:rFonts w:ascii="Century Gothic" w:eastAsia="Times New Roman" w:hAnsi="Century Gothic" w:cs="Times New Roman"/>
                <w:color w:val="000000"/>
                <w:lang w:eastAsia="en-CA"/>
              </w:rPr>
              <w:br/>
              <w:t xml:space="preserve">Considerable motivation evident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FE41693"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Homework is always complete </w:t>
            </w:r>
            <w:r w:rsidRPr="00DC5DF7">
              <w:rPr>
                <w:rFonts w:ascii="Century Gothic" w:eastAsia="Times New Roman" w:hAnsi="Century Gothic" w:cs="Times New Roman"/>
                <w:color w:val="000000"/>
                <w:lang w:eastAsia="en-CA"/>
              </w:rPr>
              <w:br/>
              <w:t xml:space="preserve">Highly motivated </w:t>
            </w:r>
          </w:p>
        </w:tc>
      </w:tr>
      <w:tr w:rsidR="00DC5DF7" w:rsidRPr="00DC5DF7" w14:paraId="559D91CF" w14:textId="77777777" w:rsidTr="00DC5DF7">
        <w:tc>
          <w:tcPr>
            <w:tcW w:w="0" w:type="auto"/>
            <w:tcBorders>
              <w:top w:val="single" w:sz="6" w:space="0" w:color="000000"/>
              <w:left w:val="single" w:sz="6" w:space="0" w:color="000000"/>
              <w:bottom w:val="single" w:sz="6" w:space="0" w:color="000000"/>
              <w:right w:val="single" w:sz="6" w:space="0" w:color="000000"/>
            </w:tcBorders>
            <w:shd w:val="clear" w:color="auto" w:fill="7FD3C2"/>
            <w:tcMar>
              <w:top w:w="90" w:type="dxa"/>
              <w:left w:w="90" w:type="dxa"/>
              <w:bottom w:w="90" w:type="dxa"/>
              <w:right w:w="90" w:type="dxa"/>
            </w:tcMar>
            <w:hideMark/>
          </w:tcPr>
          <w:p w14:paraId="66DAFFFC"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b/>
                <w:bCs/>
                <w:color w:val="000000"/>
                <w:lang w:eastAsia="en-CA"/>
              </w:rPr>
              <w:t xml:space="preserve">Initiative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A9B5F54"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Rarely extends thinking beyond material presented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A5123A"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Sometimes extends thinking beyond material presented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8B90687"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Often extends thinking beyond material presented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3C1926" w14:textId="77777777" w:rsidR="00DC5DF7" w:rsidRPr="00DC5DF7" w:rsidRDefault="00DC5DF7" w:rsidP="00DC5DF7">
            <w:pPr>
              <w:spacing w:after="0" w:line="240" w:lineRule="auto"/>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Consistently extends thinking beyond material presented </w:t>
            </w:r>
          </w:p>
        </w:tc>
      </w:tr>
    </w:tbl>
    <w:p w14:paraId="18EF8539" w14:textId="77777777" w:rsidR="00DC5DF7" w:rsidRPr="00DC5DF7" w:rsidRDefault="00DC5DF7" w:rsidP="00DC5DF7">
      <w:pPr>
        <w:spacing w:after="240" w:line="240" w:lineRule="auto"/>
        <w:rPr>
          <w:rFonts w:ascii="Times New Roman" w:eastAsia="Times New Roman" w:hAnsi="Times New Roman" w:cs="Times New Roman"/>
          <w:sz w:val="24"/>
          <w:szCs w:val="24"/>
          <w:lang w:eastAsia="en-CA"/>
        </w:rPr>
      </w:pPr>
    </w:p>
    <w:p w14:paraId="37D69913" w14:textId="77777777" w:rsidR="00DC5DF7" w:rsidRDefault="00DC5DF7" w:rsidP="00DC5DF7">
      <w:pPr>
        <w:spacing w:after="0" w:line="240" w:lineRule="auto"/>
        <w:ind w:left="100"/>
        <w:jc w:val="both"/>
        <w:rPr>
          <w:rFonts w:ascii="Times New Roman" w:eastAsia="Times New Roman" w:hAnsi="Times New Roman" w:cs="Times New Roman"/>
          <w:sz w:val="24"/>
          <w:szCs w:val="24"/>
          <w:lang w:eastAsia="en-CA"/>
        </w:rPr>
      </w:pPr>
      <w:r w:rsidRPr="00DC5DF7">
        <w:rPr>
          <w:rFonts w:ascii="Century Gothic" w:eastAsia="Times New Roman" w:hAnsi="Century Gothic" w:cs="Times New Roman"/>
          <w:color w:val="000000"/>
          <w:lang w:eastAsia="en-CA"/>
        </w:rPr>
        <w:t xml:space="preserve">To promote student success, ongoing formative assessment and feedback will be given to students. As required by the Ministry of Education, students will be assessed in the four areas of the achievement chart.  The chart below provides percentages for each category. All evaluations are expected on the </w:t>
      </w:r>
      <w:r w:rsidRPr="00DC5DF7">
        <w:rPr>
          <w:rFonts w:ascii="Century Gothic" w:eastAsia="Times New Roman" w:hAnsi="Century Gothic" w:cs="Times New Roman"/>
          <w:b/>
          <w:bCs/>
          <w:color w:val="000000"/>
          <w:lang w:eastAsia="en-CA"/>
        </w:rPr>
        <w:t>due date</w:t>
      </w:r>
      <w:r w:rsidRPr="00DC5DF7">
        <w:rPr>
          <w:rFonts w:ascii="Century Gothic" w:eastAsia="Times New Roman" w:hAnsi="Century Gothic" w:cs="Times New Roman"/>
          <w:color w:val="000000"/>
          <w:lang w:eastAsia="en-CA"/>
        </w:rPr>
        <w:t xml:space="preserve">, however, they will be also accepted up and until the </w:t>
      </w:r>
      <w:r w:rsidRPr="00DC5DF7">
        <w:rPr>
          <w:rFonts w:ascii="Century Gothic" w:eastAsia="Times New Roman" w:hAnsi="Century Gothic" w:cs="Times New Roman"/>
          <w:b/>
          <w:bCs/>
          <w:color w:val="000000"/>
          <w:lang w:eastAsia="en-CA"/>
        </w:rPr>
        <w:t>ultimate due date</w:t>
      </w:r>
      <w:r w:rsidRPr="00DC5DF7">
        <w:rPr>
          <w:rFonts w:ascii="Century Gothic" w:eastAsia="Times New Roman" w:hAnsi="Century Gothic" w:cs="Times New Roman"/>
          <w:color w:val="000000"/>
          <w:lang w:eastAsia="en-CA"/>
        </w:rPr>
        <w:t xml:space="preserve">.  Submission after the ultimate due date results in a mark of </w:t>
      </w:r>
      <w:r w:rsidRPr="00DC5DF7">
        <w:rPr>
          <w:rFonts w:ascii="Century Gothic" w:eastAsia="Times New Roman" w:hAnsi="Century Gothic" w:cs="Times New Roman"/>
          <w:b/>
          <w:bCs/>
          <w:color w:val="000000"/>
          <w:lang w:eastAsia="en-CA"/>
        </w:rPr>
        <w:t>zero</w:t>
      </w:r>
      <w:r w:rsidRPr="00DC5DF7">
        <w:rPr>
          <w:rFonts w:ascii="Century Gothic" w:eastAsia="Times New Roman" w:hAnsi="Century Gothic" w:cs="Times New Roman"/>
          <w:color w:val="000000"/>
          <w:lang w:eastAsia="en-CA"/>
        </w:rPr>
        <w:t>.  </w:t>
      </w:r>
    </w:p>
    <w:p w14:paraId="3EBB3EAD" w14:textId="77777777" w:rsidR="00DC5DF7" w:rsidRPr="00DC5DF7" w:rsidRDefault="00DC5DF7" w:rsidP="00DC5DF7">
      <w:pPr>
        <w:spacing w:after="0" w:line="240" w:lineRule="auto"/>
        <w:ind w:left="100"/>
        <w:jc w:val="both"/>
        <w:rPr>
          <w:rFonts w:ascii="Times New Roman" w:eastAsia="Times New Roman" w:hAnsi="Times New Roman" w:cs="Times New Roman"/>
          <w:sz w:val="24"/>
          <w:szCs w:val="24"/>
          <w:lang w:eastAsia="en-CA"/>
        </w:rPr>
      </w:pPr>
    </w:p>
    <w:p w14:paraId="3383A3A6" w14:textId="77777777" w:rsidR="008C41D0" w:rsidRPr="00627721" w:rsidRDefault="008C41D0" w:rsidP="008C41D0">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u w:val="single"/>
          <w:lang w:eastAsia="en-CA"/>
        </w:rPr>
        <w:t>Evaluation Dates</w:t>
      </w:r>
    </w:p>
    <w:tbl>
      <w:tblPr>
        <w:tblW w:w="0" w:type="auto"/>
        <w:tblCellMar>
          <w:top w:w="15" w:type="dxa"/>
          <w:left w:w="15" w:type="dxa"/>
          <w:bottom w:w="15" w:type="dxa"/>
          <w:right w:w="15" w:type="dxa"/>
        </w:tblCellMar>
        <w:tblLook w:val="04A0" w:firstRow="1" w:lastRow="0" w:firstColumn="1" w:lastColumn="0" w:noHBand="0" w:noVBand="1"/>
      </w:tblPr>
      <w:tblGrid>
        <w:gridCol w:w="2760"/>
        <w:gridCol w:w="4301"/>
        <w:gridCol w:w="965"/>
        <w:gridCol w:w="1314"/>
      </w:tblGrid>
      <w:tr w:rsidR="008C41D0" w:rsidRPr="00627721" w14:paraId="5C2F1204"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E800"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639E4" w14:textId="77777777" w:rsidR="008C41D0" w:rsidRPr="00627721" w:rsidRDefault="008C41D0" w:rsidP="00941DED">
            <w:pPr>
              <w:spacing w:after="0" w:line="240" w:lineRule="auto"/>
              <w:ind w:left="100"/>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Activities</w:t>
            </w:r>
          </w:p>
          <w:p w14:paraId="3FD7BD44"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A096" w14:textId="77777777"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6DE3" w14:textId="77777777" w:rsidR="008C41D0" w:rsidRPr="00627721" w:rsidRDefault="008C41D0" w:rsidP="00941DED">
            <w:pPr>
              <w:spacing w:after="0" w:line="240" w:lineRule="auto"/>
              <w:ind w:left="16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 xml:space="preserve">Ultimate </w:t>
            </w:r>
          </w:p>
          <w:p w14:paraId="48B17DAC" w14:textId="77777777" w:rsidR="008C41D0" w:rsidRPr="00627721" w:rsidRDefault="008C41D0" w:rsidP="00941DED">
            <w:pPr>
              <w:spacing w:after="0" w:line="240" w:lineRule="auto"/>
              <w:ind w:left="16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Due Date</w:t>
            </w:r>
          </w:p>
        </w:tc>
      </w:tr>
      <w:tr w:rsidR="008C41D0" w:rsidRPr="00627721" w14:paraId="7780DC10"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F7D3"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A215B"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Introduce Yourself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99BD" w14:textId="63CD09BF"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 xml:space="preserve">July </w:t>
            </w:r>
            <w:r w:rsidR="009B4E32">
              <w:rPr>
                <w:rFonts w:ascii="Century Gothic" w:eastAsia="Times New Roman" w:hAnsi="Century Gothic" w:cs="Times New Roman"/>
                <w:color w:val="000000"/>
                <w:lang w:eastAsia="en-CA"/>
              </w:rPr>
              <w:t>3</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9B4E32">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E743" w14:textId="01C3B28E"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 xml:space="preserve">July </w:t>
            </w:r>
            <w:r w:rsidR="009B4E32">
              <w:rPr>
                <w:rFonts w:ascii="Century Gothic" w:eastAsia="Times New Roman" w:hAnsi="Century Gothic" w:cs="Times New Roman"/>
                <w:color w:val="000000"/>
                <w:lang w:eastAsia="en-CA"/>
              </w:rPr>
              <w:t>7</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9B4E32">
              <w:rPr>
                <w:rFonts w:ascii="Century Gothic" w:eastAsia="Times New Roman" w:hAnsi="Century Gothic" w:cs="Times New Roman"/>
                <w:color w:val="000000"/>
                <w:lang w:eastAsia="en-CA"/>
              </w:rPr>
              <w:t>9</w:t>
            </w:r>
          </w:p>
        </w:tc>
      </w:tr>
      <w:tr w:rsidR="008C41D0" w:rsidRPr="00627721" w14:paraId="059AC2A2" w14:textId="77777777" w:rsidTr="00941DED">
        <w:trPr>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75337"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Unit 1:  Matter, Chemical Trends and Chemical Bonding</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3321"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1:  Assignment:  Antifreeze</w:t>
            </w:r>
          </w:p>
          <w:p w14:paraId="5E066422"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2</w:t>
            </w:r>
          </w:p>
          <w:p w14:paraId="363C62D0"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3:  Assignment:  Periodic Trends</w:t>
            </w:r>
          </w:p>
          <w:p w14:paraId="45A7A612"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4</w:t>
            </w:r>
          </w:p>
          <w:p w14:paraId="4B9AD894"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 xml:space="preserve">Activity 5:  Nomenclature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9004" w14:textId="79CCDDDC"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w:t>
            </w:r>
            <w:r w:rsidR="009B4E32">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1</w:t>
            </w:r>
            <w:r w:rsidR="009B4E32">
              <w:rPr>
                <w:rFonts w:ascii="Century Gothic" w:eastAsia="Times New Roman" w:hAnsi="Century Gothic" w:cs="Times New Roman"/>
                <w:color w:val="000000"/>
                <w:lang w:eastAsia="en-CA"/>
              </w:rPr>
              <w:t>0</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9B4E32">
              <w:rPr>
                <w:rFonts w:ascii="Century Gothic" w:eastAsia="Times New Roman" w:hAnsi="Century Gothic" w:cs="Times New Roman"/>
                <w:color w:val="000000"/>
                <w:lang w:eastAsia="en-CA"/>
              </w:rPr>
              <w:t>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B2AA" w14:textId="49AE9A46"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1</w:t>
            </w:r>
            <w:r w:rsidR="009B4E32">
              <w:rPr>
                <w:rFonts w:ascii="Century Gothic" w:eastAsia="Times New Roman" w:hAnsi="Century Gothic" w:cs="Times New Roman"/>
                <w:color w:val="000000"/>
                <w:lang w:eastAsia="en-CA"/>
              </w:rPr>
              <w:t>2</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9B4E32">
              <w:rPr>
                <w:rFonts w:ascii="Century Gothic" w:eastAsia="Times New Roman" w:hAnsi="Century Gothic" w:cs="Times New Roman"/>
                <w:color w:val="000000"/>
                <w:lang w:eastAsia="en-CA"/>
              </w:rPr>
              <w:t>9</w:t>
            </w:r>
          </w:p>
        </w:tc>
      </w:tr>
      <w:tr w:rsidR="008C41D0" w:rsidRPr="00627721" w14:paraId="369849AD" w14:textId="77777777" w:rsidTr="00941DED">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296E0A"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6F2E0B"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64456"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85B6E"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p>
        </w:tc>
      </w:tr>
      <w:tr w:rsidR="008C41D0" w:rsidRPr="00627721" w14:paraId="5465447B"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4CF7"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Unit 2:  Chemical Reactions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4E68"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1</w:t>
            </w:r>
          </w:p>
          <w:p w14:paraId="7CF4F233"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 xml:space="preserve">Activity 2:  Assignment 1:  </w:t>
            </w:r>
            <w:r w:rsidRPr="00627721">
              <w:rPr>
                <w:rFonts w:ascii="Century Gothic" w:eastAsia="Times New Roman" w:hAnsi="Century Gothic" w:cs="Times New Roman"/>
                <w:color w:val="000000"/>
                <w:lang w:eastAsia="en-CA"/>
              </w:rPr>
              <w:t>Balancing Eq</w:t>
            </w:r>
            <w:r>
              <w:rPr>
                <w:rFonts w:ascii="Century Gothic" w:eastAsia="Times New Roman" w:hAnsi="Century Gothic" w:cs="Times New Roman"/>
                <w:color w:val="000000"/>
                <w:lang w:eastAsia="en-CA"/>
              </w:rPr>
              <w:t xml:space="preserve">uations </w:t>
            </w:r>
          </w:p>
          <w:p w14:paraId="5BFC89A2"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3</w:t>
            </w:r>
          </w:p>
          <w:p w14:paraId="0238F67B"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Act</w:t>
            </w:r>
            <w:r>
              <w:rPr>
                <w:rFonts w:ascii="Century Gothic" w:eastAsia="Times New Roman" w:hAnsi="Century Gothic" w:cs="Times New Roman"/>
                <w:color w:val="000000"/>
                <w:lang w:eastAsia="en-CA"/>
              </w:rPr>
              <w:t>ivity 4:  Unit Questions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6C01" w14:textId="300B08F7"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1</w:t>
            </w:r>
            <w:r w:rsidR="00FD0357">
              <w:rPr>
                <w:rFonts w:ascii="Century Gothic" w:eastAsia="Times New Roman" w:hAnsi="Century Gothic" w:cs="Times New Roman"/>
                <w:color w:val="000000"/>
                <w:lang w:eastAsia="en-CA"/>
              </w:rPr>
              <w:t>2</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395B" w14:textId="35830789" w:rsidR="006A34E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 xml:space="preserve">July </w:t>
            </w:r>
            <w:r>
              <w:rPr>
                <w:rFonts w:ascii="Century Gothic" w:eastAsia="Times New Roman" w:hAnsi="Century Gothic" w:cs="Times New Roman"/>
                <w:color w:val="000000"/>
                <w:lang w:eastAsia="en-CA"/>
              </w:rPr>
              <w:t>1</w:t>
            </w:r>
            <w:r w:rsidR="00FD0357">
              <w:rPr>
                <w:rFonts w:ascii="Century Gothic" w:eastAsia="Times New Roman" w:hAnsi="Century Gothic" w:cs="Times New Roman"/>
                <w:color w:val="000000"/>
                <w:lang w:eastAsia="en-CA"/>
              </w:rPr>
              <w:t>4</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p w14:paraId="67EAF84F" w14:textId="77777777" w:rsidR="008C41D0" w:rsidRPr="006A34E1" w:rsidRDefault="008C41D0" w:rsidP="006A34E1">
            <w:pPr>
              <w:rPr>
                <w:rFonts w:ascii="Times New Roman" w:eastAsia="Times New Roman" w:hAnsi="Times New Roman" w:cs="Times New Roman"/>
                <w:sz w:val="24"/>
                <w:szCs w:val="24"/>
                <w:lang w:eastAsia="en-CA"/>
              </w:rPr>
            </w:pPr>
          </w:p>
        </w:tc>
      </w:tr>
      <w:tr w:rsidR="006A34E1" w:rsidRPr="00627721" w14:paraId="35C0257B"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A8223" w14:textId="0CD3BF0B" w:rsidR="006A34E1" w:rsidRPr="00627721" w:rsidRDefault="006A34E1" w:rsidP="00941DED">
            <w:pPr>
              <w:spacing w:after="0" w:line="240" w:lineRule="auto"/>
              <w:rPr>
                <w:rFonts w:ascii="Century Gothic" w:eastAsia="Times New Roman" w:hAnsi="Century Gothic" w:cs="Times New Roman"/>
                <w:b/>
                <w:bCs/>
                <w:color w:val="000000"/>
                <w:lang w:eastAsia="en-CA"/>
              </w:rPr>
            </w:pPr>
            <w:r>
              <w:rPr>
                <w:rFonts w:ascii="Century Gothic" w:eastAsia="Times New Roman" w:hAnsi="Century Gothic" w:cs="Times New Roman"/>
                <w:b/>
                <w:bCs/>
                <w:color w:val="000000"/>
                <w:lang w:eastAsia="en-CA"/>
              </w:rPr>
              <w:t>Midterm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F3FC0" w14:textId="181D51E8" w:rsidR="006A34E1" w:rsidRDefault="006A34E1" w:rsidP="00941DED">
            <w:pPr>
              <w:spacing w:after="0" w:line="240" w:lineRule="auto"/>
              <w:ind w:left="60"/>
              <w:rPr>
                <w:rFonts w:ascii="Century Gothic" w:eastAsia="Times New Roman" w:hAnsi="Century Gothic" w:cs="Times New Roman"/>
                <w:color w:val="000000"/>
                <w:lang w:eastAsia="en-CA"/>
              </w:rPr>
            </w:pPr>
            <w:r>
              <w:rPr>
                <w:rFonts w:ascii="Century Gothic" w:eastAsia="Times New Roman" w:hAnsi="Century Gothic" w:cs="Times New Roman"/>
                <w:color w:val="000000"/>
                <w:lang w:eastAsia="en-CA"/>
              </w:rPr>
              <w:t>Midterm Exam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3B8" w14:textId="623D5F49" w:rsidR="006A34E1" w:rsidRPr="00627721" w:rsidRDefault="006A34E1" w:rsidP="00941DED">
            <w:pPr>
              <w:spacing w:after="0" w:line="240" w:lineRule="auto"/>
              <w:ind w:left="45"/>
              <w:rPr>
                <w:rFonts w:ascii="Century Gothic" w:eastAsia="Times New Roman" w:hAnsi="Century Gothic" w:cs="Times New Roman"/>
                <w:color w:val="000000"/>
                <w:lang w:eastAsia="en-CA"/>
              </w:rPr>
            </w:pPr>
            <w:r>
              <w:rPr>
                <w:rFonts w:ascii="Century Gothic" w:eastAsia="Times New Roman" w:hAnsi="Century Gothic" w:cs="Times New Roman"/>
                <w:color w:val="000000"/>
                <w:lang w:eastAsia="en-CA"/>
              </w:rPr>
              <w:t>July 1</w:t>
            </w:r>
            <w:r w:rsidR="00FD0357">
              <w:rPr>
                <w:rFonts w:ascii="Century Gothic" w:eastAsia="Times New Roman" w:hAnsi="Century Gothic" w:cs="Times New Roman"/>
                <w:color w:val="000000"/>
                <w:lang w:eastAsia="en-CA"/>
              </w:rPr>
              <w:t>2</w:t>
            </w:r>
            <w:r>
              <w:rPr>
                <w:rFonts w:ascii="Century Gothic" w:eastAsia="Times New Roman" w:hAnsi="Century Gothic" w:cs="Times New Roman"/>
                <w:color w:val="000000"/>
                <w:lang w:eastAsia="en-CA"/>
              </w:rPr>
              <w:t>, 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761D0" w14:textId="4D698FF4" w:rsidR="006A34E1" w:rsidRPr="00627721" w:rsidRDefault="006A34E1" w:rsidP="00941DED">
            <w:pPr>
              <w:spacing w:after="0" w:line="240" w:lineRule="auto"/>
              <w:ind w:left="15" w:right="-15"/>
              <w:rPr>
                <w:rFonts w:ascii="Century Gothic" w:eastAsia="Times New Roman" w:hAnsi="Century Gothic" w:cs="Times New Roman"/>
                <w:color w:val="000000"/>
                <w:lang w:eastAsia="en-CA"/>
              </w:rPr>
            </w:pPr>
            <w:r>
              <w:rPr>
                <w:rFonts w:ascii="Century Gothic" w:eastAsia="Times New Roman" w:hAnsi="Century Gothic" w:cs="Times New Roman"/>
                <w:color w:val="000000"/>
                <w:lang w:eastAsia="en-CA"/>
              </w:rPr>
              <w:t>July 1</w:t>
            </w:r>
            <w:r w:rsidR="00FD0357">
              <w:rPr>
                <w:rFonts w:ascii="Century Gothic" w:eastAsia="Times New Roman" w:hAnsi="Century Gothic" w:cs="Times New Roman"/>
                <w:color w:val="000000"/>
                <w:lang w:eastAsia="en-CA"/>
              </w:rPr>
              <w:t>2</w:t>
            </w:r>
            <w:r>
              <w:rPr>
                <w:rFonts w:ascii="Century Gothic" w:eastAsia="Times New Roman" w:hAnsi="Century Gothic" w:cs="Times New Roman"/>
                <w:color w:val="000000"/>
                <w:lang w:eastAsia="en-CA"/>
              </w:rPr>
              <w:t>, 201</w:t>
            </w:r>
            <w:r w:rsidR="00FD0357">
              <w:rPr>
                <w:rFonts w:ascii="Century Gothic" w:eastAsia="Times New Roman" w:hAnsi="Century Gothic" w:cs="Times New Roman"/>
                <w:color w:val="000000"/>
                <w:lang w:eastAsia="en-CA"/>
              </w:rPr>
              <w:t>9</w:t>
            </w:r>
          </w:p>
        </w:tc>
      </w:tr>
      <w:tr w:rsidR="008C41D0" w:rsidRPr="00627721" w14:paraId="7D7857E1"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F627"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lastRenderedPageBreak/>
              <w:t>Unit 3:  Quantities in Chemical Reactions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1D58"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1</w:t>
            </w:r>
          </w:p>
          <w:p w14:paraId="25A29761"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2:  Assignment:  The Mole Calculations</w:t>
            </w:r>
          </w:p>
          <w:p w14:paraId="699638FB"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3:  Assignment:  Complete worksheet:  Percent Composition + Empirical and Molecular Formulas</w:t>
            </w:r>
          </w:p>
          <w:p w14:paraId="4314DFBB" w14:textId="77777777" w:rsidR="008C41D0" w:rsidRDefault="008C41D0" w:rsidP="00941DED">
            <w:pPr>
              <w:spacing w:after="0" w:line="240" w:lineRule="auto"/>
              <w:ind w:left="60"/>
              <w:rPr>
                <w:rFonts w:ascii="Century Gothic" w:eastAsia="Times New Roman" w:hAnsi="Century Gothic" w:cs="Times New Roman"/>
                <w:color w:val="000000"/>
                <w:lang w:eastAsia="en-CA"/>
              </w:rPr>
            </w:pPr>
            <w:r>
              <w:rPr>
                <w:rFonts w:ascii="Century Gothic" w:eastAsia="Times New Roman" w:hAnsi="Century Gothic" w:cs="Times New Roman"/>
                <w:color w:val="000000"/>
                <w:lang w:eastAsia="en-CA"/>
              </w:rPr>
              <w:t xml:space="preserve">Activity 4 </w:t>
            </w:r>
          </w:p>
          <w:p w14:paraId="12D7EE04"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5:  Unit Quiz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2C435" w14:textId="0146F56F"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1</w:t>
            </w:r>
            <w:r w:rsidR="00FD0357">
              <w:rPr>
                <w:rFonts w:ascii="Century Gothic" w:eastAsia="Times New Roman" w:hAnsi="Century Gothic" w:cs="Times New Roman"/>
                <w:color w:val="000000"/>
                <w:lang w:eastAsia="en-CA"/>
              </w:rPr>
              <w:t>8</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D3EF" w14:textId="7BE6A0B7"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 xml:space="preserve">July </w:t>
            </w:r>
            <w:r>
              <w:rPr>
                <w:rFonts w:ascii="Century Gothic" w:eastAsia="Times New Roman" w:hAnsi="Century Gothic" w:cs="Times New Roman"/>
                <w:color w:val="000000"/>
                <w:lang w:eastAsia="en-CA"/>
              </w:rPr>
              <w:t>2</w:t>
            </w:r>
            <w:r w:rsidR="00FD0357">
              <w:rPr>
                <w:rFonts w:ascii="Century Gothic" w:eastAsia="Times New Roman" w:hAnsi="Century Gothic" w:cs="Times New Roman"/>
                <w:color w:val="000000"/>
                <w:lang w:eastAsia="en-CA"/>
              </w:rPr>
              <w:t>1</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r>
      <w:tr w:rsidR="008C41D0" w:rsidRPr="00627721" w14:paraId="6F3BD002"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5933"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Unit 4:  Solutions and Solubility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BE8A"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Activity 1</w:t>
            </w:r>
          </w:p>
          <w:p w14:paraId="416C72C6"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Act</w:t>
            </w:r>
            <w:r>
              <w:rPr>
                <w:rFonts w:ascii="Century Gothic" w:eastAsia="Times New Roman" w:hAnsi="Century Gothic" w:cs="Times New Roman"/>
                <w:color w:val="000000"/>
                <w:lang w:eastAsia="en-CA"/>
              </w:rPr>
              <w:t xml:space="preserve">ivity 2:  Assignment:  Titration Lab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EA12" w14:textId="6355CB56"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 xml:space="preserve">July </w:t>
            </w:r>
            <w:r>
              <w:rPr>
                <w:rFonts w:ascii="Century Gothic" w:eastAsia="Times New Roman" w:hAnsi="Century Gothic" w:cs="Times New Roman"/>
                <w:color w:val="000000"/>
                <w:lang w:eastAsia="en-CA"/>
              </w:rPr>
              <w:t>2</w:t>
            </w:r>
            <w:r w:rsidR="00FD0357">
              <w:rPr>
                <w:rFonts w:ascii="Century Gothic" w:eastAsia="Times New Roman" w:hAnsi="Century Gothic" w:cs="Times New Roman"/>
                <w:color w:val="000000"/>
                <w:lang w:eastAsia="en-CA"/>
              </w:rPr>
              <w:t>3</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FB411" w14:textId="14A0EA88"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2</w:t>
            </w:r>
            <w:r w:rsidR="00FD0357">
              <w:rPr>
                <w:rFonts w:ascii="Century Gothic" w:eastAsia="Times New Roman" w:hAnsi="Century Gothic" w:cs="Times New Roman"/>
                <w:color w:val="000000"/>
                <w:lang w:eastAsia="en-CA"/>
              </w:rPr>
              <w:t>5</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r>
      <w:tr w:rsidR="008C41D0" w:rsidRPr="00627721" w14:paraId="0727F54A"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C2C7"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Unit 5: Gases and Atmospheric Chemistry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356C"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Pr>
                <w:rFonts w:ascii="Century Gothic" w:eastAsia="Times New Roman" w:hAnsi="Century Gothic" w:cs="Times New Roman"/>
                <w:color w:val="000000"/>
                <w:lang w:eastAsia="en-CA"/>
              </w:rPr>
              <w:t xml:space="preserve">Activity 1:  Assignment 3:  </w:t>
            </w:r>
            <w:r w:rsidRPr="00627721">
              <w:rPr>
                <w:rFonts w:ascii="Century Gothic" w:eastAsia="Times New Roman" w:hAnsi="Century Gothic" w:cs="Times New Roman"/>
                <w:color w:val="000000"/>
                <w:lang w:eastAsia="en-CA"/>
              </w:rPr>
              <w:t>Canadian Scientists</w:t>
            </w:r>
          </w:p>
          <w:p w14:paraId="71561DA3"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Act</w:t>
            </w:r>
            <w:r>
              <w:rPr>
                <w:rFonts w:ascii="Century Gothic" w:eastAsia="Times New Roman" w:hAnsi="Century Gothic" w:cs="Times New Roman"/>
                <w:color w:val="000000"/>
                <w:lang w:eastAsia="en-CA"/>
              </w:rPr>
              <w:t>ivity</w:t>
            </w:r>
            <w:r w:rsidRPr="00627721">
              <w:rPr>
                <w:rFonts w:ascii="Century Gothic" w:eastAsia="Times New Roman" w:hAnsi="Century Gothic" w:cs="Times New Roman"/>
                <w:color w:val="000000"/>
                <w:lang w:eastAsia="en-CA"/>
              </w:rPr>
              <w:t xml:space="preserve"> 2</w:t>
            </w:r>
          </w:p>
          <w:p w14:paraId="0FBBF945" w14:textId="0887734C" w:rsidR="008C41D0" w:rsidRPr="004B103D" w:rsidRDefault="008C41D0" w:rsidP="00941DED">
            <w:pPr>
              <w:spacing w:after="0" w:line="240" w:lineRule="auto"/>
              <w:ind w:left="60"/>
              <w:rPr>
                <w:rFonts w:ascii="Century Gothic" w:eastAsia="Times New Roman" w:hAnsi="Century Gothic" w:cs="Times New Roman"/>
                <w:color w:val="000000"/>
                <w:lang w:eastAsia="en-CA"/>
              </w:rPr>
            </w:pPr>
            <w:r>
              <w:rPr>
                <w:rFonts w:ascii="Century Gothic" w:eastAsia="Times New Roman" w:hAnsi="Century Gothic" w:cs="Times New Roman"/>
                <w:color w:val="000000"/>
                <w:lang w:eastAsia="en-CA"/>
              </w:rPr>
              <w:t xml:space="preserve">Activity </w:t>
            </w:r>
            <w:r w:rsidR="00E80F85">
              <w:rPr>
                <w:rFonts w:ascii="Century Gothic" w:eastAsia="Times New Roman" w:hAnsi="Century Gothic" w:cs="Times New Roman"/>
                <w:color w:val="000000"/>
                <w:lang w:eastAsia="en-CA"/>
              </w:rPr>
              <w:t>4</w:t>
            </w:r>
            <w:r>
              <w:rPr>
                <w:rFonts w:ascii="Century Gothic" w:eastAsia="Times New Roman" w:hAnsi="Century Gothic" w:cs="Times New Roman"/>
                <w:color w:val="000000"/>
                <w:lang w:eastAsia="en-CA"/>
              </w:rPr>
              <w:t>:  Unit Review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73B4" w14:textId="734D78E5"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2</w:t>
            </w:r>
            <w:r w:rsidR="00FD0357">
              <w:rPr>
                <w:rFonts w:ascii="Century Gothic" w:eastAsia="Times New Roman" w:hAnsi="Century Gothic" w:cs="Times New Roman"/>
                <w:color w:val="000000"/>
                <w:lang w:eastAsia="en-CA"/>
              </w:rPr>
              <w:t>6</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9D9A" w14:textId="3E4B4CA7"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2</w:t>
            </w:r>
            <w:r w:rsidR="00FD0357">
              <w:rPr>
                <w:rFonts w:ascii="Century Gothic" w:eastAsia="Times New Roman" w:hAnsi="Century Gothic" w:cs="Times New Roman"/>
                <w:color w:val="000000"/>
                <w:lang w:eastAsia="en-CA"/>
              </w:rPr>
              <w:t>8</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r>
      <w:tr w:rsidR="008C41D0" w:rsidRPr="00627721" w14:paraId="7437CEF4" w14:textId="77777777" w:rsidTr="00941D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D148" w14:textId="77777777" w:rsidR="008C41D0" w:rsidRPr="00627721" w:rsidRDefault="008C41D0" w:rsidP="00941DED">
            <w:pPr>
              <w:spacing w:after="0" w:line="240" w:lineRule="auto"/>
              <w:rPr>
                <w:rFonts w:ascii="Times New Roman" w:eastAsia="Times New Roman" w:hAnsi="Times New Roman" w:cs="Times New Roman"/>
                <w:sz w:val="24"/>
                <w:szCs w:val="24"/>
                <w:lang w:eastAsia="en-CA"/>
              </w:rPr>
            </w:pPr>
            <w:r w:rsidRPr="00627721">
              <w:rPr>
                <w:rFonts w:ascii="Century Gothic" w:eastAsia="Times New Roman" w:hAnsi="Century Gothic" w:cs="Times New Roman"/>
                <w:b/>
                <w:bCs/>
                <w:color w:val="000000"/>
                <w:lang w:eastAsia="en-CA"/>
              </w:rPr>
              <w:t>Culminating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6FE0" w14:textId="77777777" w:rsidR="008C41D0" w:rsidRPr="00627721" w:rsidRDefault="008C41D0" w:rsidP="00941DED">
            <w:pPr>
              <w:spacing w:after="0" w:line="240" w:lineRule="auto"/>
              <w:ind w:left="60"/>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Final Exam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6D178" w14:textId="6BD20E0F" w:rsidR="008C41D0" w:rsidRPr="00627721" w:rsidRDefault="008C41D0" w:rsidP="00941DED">
            <w:pPr>
              <w:spacing w:after="0" w:line="240" w:lineRule="auto"/>
              <w:ind w:left="4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2</w:t>
            </w:r>
            <w:r w:rsidR="00A73883">
              <w:rPr>
                <w:rFonts w:ascii="Century Gothic" w:eastAsia="Times New Roman" w:hAnsi="Century Gothic" w:cs="Times New Roman"/>
                <w:color w:val="000000"/>
                <w:lang w:eastAsia="en-CA"/>
              </w:rPr>
              <w:t>7</w:t>
            </w:r>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D46B" w14:textId="5EEE34A0" w:rsidR="008C41D0" w:rsidRPr="00627721" w:rsidRDefault="008C41D0" w:rsidP="00941DED">
            <w:pPr>
              <w:spacing w:after="0" w:line="240" w:lineRule="auto"/>
              <w:ind w:left="15" w:right="-15"/>
              <w:rPr>
                <w:rFonts w:ascii="Times New Roman" w:eastAsia="Times New Roman" w:hAnsi="Times New Roman" w:cs="Times New Roman"/>
                <w:sz w:val="24"/>
                <w:szCs w:val="24"/>
                <w:lang w:eastAsia="en-CA"/>
              </w:rPr>
            </w:pPr>
            <w:r w:rsidRPr="00627721">
              <w:rPr>
                <w:rFonts w:ascii="Century Gothic" w:eastAsia="Times New Roman" w:hAnsi="Century Gothic" w:cs="Times New Roman"/>
                <w:color w:val="000000"/>
                <w:lang w:eastAsia="en-CA"/>
              </w:rPr>
              <w:t>July 2</w:t>
            </w:r>
            <w:r w:rsidR="00A73883">
              <w:rPr>
                <w:rFonts w:ascii="Century Gothic" w:eastAsia="Times New Roman" w:hAnsi="Century Gothic" w:cs="Times New Roman"/>
                <w:color w:val="000000"/>
                <w:lang w:eastAsia="en-CA"/>
              </w:rPr>
              <w:t>7</w:t>
            </w:r>
            <w:bookmarkStart w:id="0" w:name="_GoBack"/>
            <w:bookmarkEnd w:id="0"/>
            <w:r w:rsidRPr="00627721">
              <w:rPr>
                <w:rFonts w:ascii="Century Gothic" w:eastAsia="Times New Roman" w:hAnsi="Century Gothic" w:cs="Times New Roman"/>
                <w:color w:val="000000"/>
                <w:lang w:eastAsia="en-CA"/>
              </w:rPr>
              <w:t xml:space="preserve">, </w:t>
            </w:r>
            <w:r>
              <w:rPr>
                <w:rFonts w:ascii="Century Gothic" w:eastAsia="Times New Roman" w:hAnsi="Century Gothic" w:cs="Times New Roman"/>
                <w:color w:val="000000"/>
                <w:lang w:eastAsia="en-CA"/>
              </w:rPr>
              <w:t>201</w:t>
            </w:r>
            <w:r w:rsidR="00FD0357">
              <w:rPr>
                <w:rFonts w:ascii="Century Gothic" w:eastAsia="Times New Roman" w:hAnsi="Century Gothic" w:cs="Times New Roman"/>
                <w:color w:val="000000"/>
                <w:lang w:eastAsia="en-CA"/>
              </w:rPr>
              <w:t>9</w:t>
            </w:r>
          </w:p>
        </w:tc>
      </w:tr>
    </w:tbl>
    <w:p w14:paraId="1C0B6ECA" w14:textId="77777777" w:rsidR="008C41D0" w:rsidRDefault="008C41D0" w:rsidP="008C41D0"/>
    <w:p w14:paraId="4BC095BA" w14:textId="77777777" w:rsidR="006A34E1" w:rsidRPr="00D53924" w:rsidRDefault="006A34E1" w:rsidP="006A34E1">
      <w:pPr>
        <w:rPr>
          <w:b/>
          <w:sz w:val="28"/>
          <w:szCs w:val="28"/>
          <w:u w:val="single"/>
        </w:rPr>
      </w:pPr>
      <w:r w:rsidRPr="00D53924">
        <w:rPr>
          <w:b/>
          <w:sz w:val="28"/>
          <w:szCs w:val="28"/>
          <w:u w:val="single"/>
        </w:rPr>
        <w:t>Mark Breakdown</w:t>
      </w:r>
    </w:p>
    <w:tbl>
      <w:tblPr>
        <w:tblStyle w:val="TableGrid"/>
        <w:tblW w:w="0" w:type="auto"/>
        <w:tblLook w:val="04A0" w:firstRow="1" w:lastRow="0" w:firstColumn="1" w:lastColumn="0" w:noHBand="0" w:noVBand="1"/>
      </w:tblPr>
      <w:tblGrid>
        <w:gridCol w:w="4675"/>
        <w:gridCol w:w="4675"/>
      </w:tblGrid>
      <w:tr w:rsidR="006A34E1" w14:paraId="5E5DADC3" w14:textId="77777777" w:rsidTr="00352B72">
        <w:tc>
          <w:tcPr>
            <w:tcW w:w="4675" w:type="dxa"/>
            <w:shd w:val="clear" w:color="auto" w:fill="CCFFFF"/>
          </w:tcPr>
          <w:p w14:paraId="363CD132" w14:textId="77777777" w:rsidR="006A34E1" w:rsidRDefault="006A34E1" w:rsidP="00352B72">
            <w:pPr>
              <w:rPr>
                <w:sz w:val="28"/>
                <w:szCs w:val="28"/>
              </w:rPr>
            </w:pPr>
            <w:r>
              <w:rPr>
                <w:sz w:val="28"/>
                <w:szCs w:val="28"/>
              </w:rPr>
              <w:t>Assignments (Dropbox and Direct Link)</w:t>
            </w:r>
          </w:p>
        </w:tc>
        <w:tc>
          <w:tcPr>
            <w:tcW w:w="4675" w:type="dxa"/>
            <w:shd w:val="clear" w:color="auto" w:fill="CCFFFF"/>
          </w:tcPr>
          <w:p w14:paraId="56322FB9" w14:textId="77777777" w:rsidR="006A34E1" w:rsidRDefault="006A34E1" w:rsidP="00352B72">
            <w:pPr>
              <w:rPr>
                <w:sz w:val="28"/>
                <w:szCs w:val="28"/>
              </w:rPr>
            </w:pPr>
            <w:r>
              <w:rPr>
                <w:sz w:val="28"/>
                <w:szCs w:val="28"/>
              </w:rPr>
              <w:t>60 %</w:t>
            </w:r>
          </w:p>
        </w:tc>
      </w:tr>
      <w:tr w:rsidR="006A34E1" w14:paraId="17531EB9" w14:textId="77777777" w:rsidTr="00352B72">
        <w:tc>
          <w:tcPr>
            <w:tcW w:w="4675" w:type="dxa"/>
            <w:shd w:val="clear" w:color="auto" w:fill="FFFF00"/>
          </w:tcPr>
          <w:p w14:paraId="4ADFFEB6" w14:textId="77777777" w:rsidR="006A34E1" w:rsidRDefault="006A34E1" w:rsidP="00352B72">
            <w:pPr>
              <w:rPr>
                <w:sz w:val="28"/>
                <w:szCs w:val="28"/>
              </w:rPr>
            </w:pPr>
            <w:r>
              <w:rPr>
                <w:sz w:val="28"/>
                <w:szCs w:val="28"/>
              </w:rPr>
              <w:t>Midterm Exam</w:t>
            </w:r>
          </w:p>
        </w:tc>
        <w:tc>
          <w:tcPr>
            <w:tcW w:w="4675" w:type="dxa"/>
            <w:shd w:val="clear" w:color="auto" w:fill="FFFF00"/>
          </w:tcPr>
          <w:p w14:paraId="0E3B630A" w14:textId="77777777" w:rsidR="006A34E1" w:rsidRDefault="006A34E1" w:rsidP="00352B72">
            <w:pPr>
              <w:rPr>
                <w:sz w:val="28"/>
                <w:szCs w:val="28"/>
              </w:rPr>
            </w:pPr>
            <w:r>
              <w:rPr>
                <w:sz w:val="28"/>
                <w:szCs w:val="28"/>
              </w:rPr>
              <w:t>10 %</w:t>
            </w:r>
          </w:p>
        </w:tc>
      </w:tr>
      <w:tr w:rsidR="006A34E1" w14:paraId="53774F67" w14:textId="77777777" w:rsidTr="00352B72">
        <w:tc>
          <w:tcPr>
            <w:tcW w:w="4675" w:type="dxa"/>
            <w:shd w:val="clear" w:color="auto" w:fill="FFFF00"/>
          </w:tcPr>
          <w:p w14:paraId="6ACE5980" w14:textId="77777777" w:rsidR="006A34E1" w:rsidRDefault="006A34E1" w:rsidP="00352B72">
            <w:pPr>
              <w:rPr>
                <w:sz w:val="28"/>
                <w:szCs w:val="28"/>
              </w:rPr>
            </w:pPr>
            <w:r>
              <w:rPr>
                <w:sz w:val="28"/>
                <w:szCs w:val="28"/>
              </w:rPr>
              <w:t>Final Exam</w:t>
            </w:r>
          </w:p>
        </w:tc>
        <w:tc>
          <w:tcPr>
            <w:tcW w:w="4675" w:type="dxa"/>
            <w:shd w:val="clear" w:color="auto" w:fill="FFFF00"/>
          </w:tcPr>
          <w:p w14:paraId="094C697B" w14:textId="77777777" w:rsidR="006A34E1" w:rsidRDefault="006A34E1" w:rsidP="00352B72">
            <w:pPr>
              <w:rPr>
                <w:sz w:val="28"/>
                <w:szCs w:val="28"/>
              </w:rPr>
            </w:pPr>
            <w:r>
              <w:rPr>
                <w:sz w:val="28"/>
                <w:szCs w:val="28"/>
              </w:rPr>
              <w:t>30 %</w:t>
            </w:r>
          </w:p>
        </w:tc>
      </w:tr>
      <w:tr w:rsidR="006A34E1" w14:paraId="24AF1DB5" w14:textId="77777777" w:rsidTr="00352B72">
        <w:tc>
          <w:tcPr>
            <w:tcW w:w="4675" w:type="dxa"/>
            <w:shd w:val="clear" w:color="auto" w:fill="FF99FF"/>
          </w:tcPr>
          <w:p w14:paraId="232DF358" w14:textId="77777777" w:rsidR="006A34E1" w:rsidRDefault="006A34E1" w:rsidP="00352B72">
            <w:pPr>
              <w:rPr>
                <w:sz w:val="28"/>
                <w:szCs w:val="28"/>
              </w:rPr>
            </w:pPr>
            <w:r>
              <w:rPr>
                <w:sz w:val="28"/>
                <w:szCs w:val="28"/>
              </w:rPr>
              <w:t>Total</w:t>
            </w:r>
          </w:p>
        </w:tc>
        <w:tc>
          <w:tcPr>
            <w:tcW w:w="4675" w:type="dxa"/>
            <w:shd w:val="clear" w:color="auto" w:fill="FF99FF"/>
          </w:tcPr>
          <w:p w14:paraId="34DD310A" w14:textId="77777777" w:rsidR="006A34E1" w:rsidRDefault="006A34E1" w:rsidP="00352B72">
            <w:pPr>
              <w:rPr>
                <w:sz w:val="28"/>
                <w:szCs w:val="28"/>
              </w:rPr>
            </w:pPr>
            <w:r>
              <w:rPr>
                <w:sz w:val="28"/>
                <w:szCs w:val="28"/>
              </w:rPr>
              <w:t>100 %</w:t>
            </w:r>
          </w:p>
        </w:tc>
      </w:tr>
    </w:tbl>
    <w:p w14:paraId="06B74F28" w14:textId="77777777" w:rsidR="00DC5DF7" w:rsidRDefault="00DC5DF7" w:rsidP="008C41D0">
      <w:pPr>
        <w:spacing w:after="0" w:line="240" w:lineRule="auto"/>
      </w:pPr>
    </w:p>
    <w:sectPr w:rsidR="00DC5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F7"/>
    <w:rsid w:val="006673C4"/>
    <w:rsid w:val="006A34E1"/>
    <w:rsid w:val="008C41D0"/>
    <w:rsid w:val="009B4E32"/>
    <w:rsid w:val="00A73883"/>
    <w:rsid w:val="00AA6CF7"/>
    <w:rsid w:val="00BB0139"/>
    <w:rsid w:val="00DC5DF7"/>
    <w:rsid w:val="00E80F85"/>
    <w:rsid w:val="00FD03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8E1B"/>
  <w15:chartTrackingRefBased/>
  <w15:docId w15:val="{EC63427F-F00C-4EDE-8235-FCC418CA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E32"/>
    <w:rPr>
      <w:rFonts w:ascii="Segoe UI" w:hAnsi="Segoe UI" w:cs="Segoe UI"/>
      <w:sz w:val="18"/>
      <w:szCs w:val="18"/>
    </w:rPr>
  </w:style>
  <w:style w:type="character" w:styleId="Hyperlink">
    <w:name w:val="Hyperlink"/>
    <w:basedOn w:val="DefaultParagraphFont"/>
    <w:uiPriority w:val="99"/>
    <w:unhideWhenUsed/>
    <w:rsid w:val="009B4E32"/>
    <w:rPr>
      <w:color w:val="0563C1" w:themeColor="hyperlink"/>
      <w:u w:val="single"/>
    </w:rPr>
  </w:style>
  <w:style w:type="character" w:styleId="UnresolvedMention">
    <w:name w:val="Unresolved Mention"/>
    <w:basedOn w:val="DefaultParagraphFont"/>
    <w:uiPriority w:val="99"/>
    <w:semiHidden/>
    <w:unhideWhenUsed/>
    <w:rsid w:val="009B4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002">
      <w:bodyDiv w:val="1"/>
      <w:marLeft w:val="0"/>
      <w:marRight w:val="0"/>
      <w:marTop w:val="0"/>
      <w:marBottom w:val="0"/>
      <w:divBdr>
        <w:top w:val="none" w:sz="0" w:space="0" w:color="auto"/>
        <w:left w:val="none" w:sz="0" w:space="0" w:color="auto"/>
        <w:bottom w:val="none" w:sz="0" w:space="0" w:color="auto"/>
        <w:right w:val="none" w:sz="0" w:space="0" w:color="auto"/>
      </w:divBdr>
      <w:divsChild>
        <w:div w:id="556554445">
          <w:marLeft w:val="0"/>
          <w:marRight w:val="0"/>
          <w:marTop w:val="0"/>
          <w:marBottom w:val="0"/>
          <w:divBdr>
            <w:top w:val="none" w:sz="0" w:space="0" w:color="auto"/>
            <w:left w:val="none" w:sz="0" w:space="0" w:color="auto"/>
            <w:bottom w:val="none" w:sz="0" w:space="0" w:color="auto"/>
            <w:right w:val="none" w:sz="0" w:space="0" w:color="auto"/>
          </w:divBdr>
        </w:div>
        <w:div w:id="1577744329">
          <w:marLeft w:val="0"/>
          <w:marRight w:val="0"/>
          <w:marTop w:val="0"/>
          <w:marBottom w:val="0"/>
          <w:divBdr>
            <w:top w:val="none" w:sz="0" w:space="0" w:color="auto"/>
            <w:left w:val="none" w:sz="0" w:space="0" w:color="auto"/>
            <w:bottom w:val="none" w:sz="0" w:space="0" w:color="auto"/>
            <w:right w:val="none" w:sz="0" w:space="0" w:color="auto"/>
          </w:divBdr>
        </w:div>
        <w:div w:id="1355612553">
          <w:marLeft w:val="0"/>
          <w:marRight w:val="0"/>
          <w:marTop w:val="0"/>
          <w:marBottom w:val="0"/>
          <w:divBdr>
            <w:top w:val="none" w:sz="0" w:space="0" w:color="auto"/>
            <w:left w:val="none" w:sz="0" w:space="0" w:color="auto"/>
            <w:bottom w:val="none" w:sz="0" w:space="0" w:color="auto"/>
            <w:right w:val="none" w:sz="0" w:space="0" w:color="auto"/>
          </w:divBdr>
        </w:div>
        <w:div w:id="14760205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olweb.tdsb.on.ca/elearning/Desire2Learn/CodeofOnlineConduct.aspx" TargetMode="External"/><Relationship Id="rId5" Type="http://schemas.openxmlformats.org/officeDocument/2006/relationships/hyperlink" Target="mailto:esonwaa@tcdsb.mail.elearningontario.ca" TargetMode="External"/><Relationship Id="rId4" Type="http://schemas.openxmlformats.org/officeDocument/2006/relationships/hyperlink" Target="mailto:adaobi.esonwanne@tcd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Ann Clough</dc:creator>
  <cp:keywords/>
  <dc:description/>
  <cp:lastModifiedBy>ada.esonwanne@yahoo.com</cp:lastModifiedBy>
  <cp:revision>4</cp:revision>
  <cp:lastPrinted>2019-07-02T19:47:00Z</cp:lastPrinted>
  <dcterms:created xsi:type="dcterms:W3CDTF">2019-07-02T20:10:00Z</dcterms:created>
  <dcterms:modified xsi:type="dcterms:W3CDTF">2019-07-03T01:53:00Z</dcterms:modified>
</cp:coreProperties>
</file>