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Catálogo Mestre de Governança Documental do SGP</w:t>
      </w:r>
    </w:p>
    <w:p>
      <w:pPr>
        <w:pStyle w:val="Subtitle"/>
      </w:pPr>
      <w:r>
        <w:t>Fonte oficial, vigência, versionamento e regras para impedir divergência documental</w:t>
      </w:r>
    </w:p>
    <w:p>
      <w:pPr>
        <w:spacing w:after="280"/>
      </w:pPr>
      <w:r>
        <w:rPr>
          <w:b/>
          <w:color w:val="666666"/>
          <w:sz w:val="18"/>
        </w:rPr>
        <w:t>GOV-SGP-001 | Versão 1.1 | 28/07/2026 | Liliane de Freitas Terra Vieira</w:t>
      </w:r>
    </w:p>
    <w:p>
      <w:pPr>
        <w:pStyle w:val="Heading1"/>
      </w:pPr>
      <w:r>
        <w:t>1. Fonte oficial vigente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660"/>
        <w:gridCol w:w="2700"/>
        <w:gridCol w:w="210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Conjunto</w:t>
            </w:r>
          </w:p>
        </w:tc>
        <w:tc>
          <w:tcPr>
            <w:tcW w:type="dxa" w:w="26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Finalidade</w:t>
            </w:r>
          </w:p>
        </w:tc>
        <w:tc>
          <w:tcPr>
            <w:tcW w:type="dxa" w:w="2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Situação do software</w:t>
            </w:r>
          </w:p>
        </w:tc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Vigência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BL-SGP-001 | revisão 1.0.2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Retrato documental do MVP implementado.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Release v1.0.0 homologada e publicada na main; HOM-035 aprovado com ressalva operacional para revalidação em produção.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Fonte oficial do produto estável publicado no commit a5bc837.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BL-SGP-002 | revisão 2.1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Escopo aprovado para a fundação SaaS multiempresa.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Ainda não implementado nem homologado.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Fonte oficial do próximo desenvolvimento.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RM-002 e RM-003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Visão futura de baselines, impacto contratual e IA.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Fora da implementação da BL-SGP-002.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Roadmap, não compromisso de entrega.</w:t>
            </w:r>
          </w:p>
        </w:tc>
      </w:tr>
    </w:tbl>
    <w:p/>
    <w:p>
      <w:pPr>
        <w:pStyle w:val="Heading1"/>
      </w:pPr>
      <w:r>
        <w:t>2. Regra de precedência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Ordem</w:t>
            </w:r>
          </w:p>
        </w:tc>
        <w:tc>
          <w:tcPr>
            <w:tcW w:type="dxa" w:w="8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Regra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Para afirmar o que existe hoje, prevalecem código, migrations e testes do MVP, interpretados pela BL-SGP-001.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2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Para implementar a próxima etapa, prevalecem o Catálogo e o Plano da Entrega da BL-SGP-002.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3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Itens futuros só integram uma entrega quando forem incluídos em nova baseline e em seu catálogo.</w:t>
            </w:r>
          </w:p>
        </w:tc>
      </w:tr>
      <w:tr>
        <w:trPr>
          <w:cantSplit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4</w:t>
            </w:r>
          </w:p>
        </w:tc>
        <w:tc>
          <w:tcPr>
            <w:tcW w:type="dxa" w:w="8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Conversas, rascunhos, PDFs avulsos e pacotes antigos não prevalecem sobre uma baseline catalogada.</w:t>
            </w:r>
          </w:p>
        </w:tc>
      </w:tr>
    </w:tbl>
    <w:p/>
    <w:p>
      <w:pPr>
        <w:pStyle w:val="Heading1"/>
      </w:pPr>
      <w:r>
        <w:t>3. Convenção de versões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54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Elemento</w:t>
            </w:r>
          </w:p>
        </w:tc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Exemplo</w:t>
            </w:r>
          </w:p>
        </w:tc>
        <w:tc>
          <w:tcPr>
            <w:tcW w:type="dxa" w:w="54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Baseline documental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BL-SGP-001 / BL-SGP-002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Conjunto aprovado e controlado de artefatos.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Revisão documental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1.0.1 / 2.1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Correção ou consolidação do conteúdo dos documentos.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Release de software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v1.0.0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Versão executável, publicada somente após critérios de qualidade.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Mudança registrada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RM-001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Necessidade analisada que pode ou não entrar em uma baseline.</w:t>
            </w:r>
          </w:p>
        </w:tc>
      </w:tr>
    </w:tbl>
    <w:p/>
    <w:p>
      <w:pPr>
        <w:pStyle w:val="Heading1"/>
      </w:pPr>
      <w:r>
        <w:t>4. Política de alteração</w:t>
      </w:r>
    </w:p>
    <w:p>
      <w:r>
        <w:t>Nenhum documento congelado deve ser sobrescrito silenciosamente. Correções sem mudança de escopo recebem nova revisão documental e registro no catálogo. Mudanças de requisito, regra, arquitetura ou compromisso de entrega exigem registro de mudança e nova baseline.</w:t>
      </w:r>
    </w:p>
    <w:p>
      <w:pPr>
        <w:pStyle w:val="Heading1"/>
      </w:pPr>
      <w:r>
        <w:t>5. Organização das fontes do projeto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Ação</w:t>
            </w:r>
          </w:p>
        </w:tc>
        <w:tc>
          <w:tcPr>
            <w:tcW w:type="dxa" w:w="72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Item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Manter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Este pacote pós-homologação, com a BL-SGP-001 revisão 1.0.2, a BL-SGP-002 revisão 2.1 e os manifestos SHA-256.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Remover das fontes ativas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Documentos avulsos duplicados, PDFs consolidados anteriores e pacotes substituídos.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Arquivar fora das fontes ativas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sgp.pdf, pois é um fluxo conceitual anterior e contém etapas não implementadas no MVP.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Manter fora da documentação oficial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sgp_bkp(1).zip; é evidência técnica e backup de análise, não pacote de release.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6"/>
      </w:rPr>
      <w:t>SGP | Governança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