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1500"/>
        <w:gridCol w:w="7860"/>
      </w:tblGrid>
      <w:tr>
        <w:trPr>
          <w:tblHeader w:val="true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58368" cy="6583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gp-log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658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23B4A"/>
                <w:sz w:val="36"/>
              </w:rPr>
              <w:t>SGP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667680"/>
                <w:sz w:val="19"/>
              </w:rPr>
              <w:t>Sistema de Gestão de Projetos de Software</w:t>
            </w:r>
          </w:p>
        </w:tc>
      </w:tr>
    </w:tbl>
    <w:p>
      <w:pPr>
        <w:spacing w:before="640" w:after="80"/>
      </w:pPr>
      <w:r>
        <w:rPr>
          <w:rFonts w:ascii="Calibri" w:hAnsi="Calibri"/>
          <w:b/>
          <w:i w:val="0"/>
          <w:color w:val="2E8B74"/>
          <w:sz w:val="18"/>
        </w:rPr>
        <w:t>DOCUMENTO 05</w:t>
      </w:r>
    </w:p>
    <w:p>
      <w:pPr>
        <w:pStyle w:val="Title"/>
      </w:pPr>
      <w:r>
        <w:t>Plano de Projeto do MVP</w:t>
      </w:r>
    </w:p>
    <w:p>
      <w:pPr>
        <w:pStyle w:val="Subtitle"/>
      </w:pPr>
      <w:r>
        <w:t>Escopo, entregas, critérios e encerramento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CE3E7"/>
          <w:left w:val="single" w:sz="6" w:space="0" w:color="DCE3E7"/>
          <w:bottom w:val="single" w:sz="6" w:space="0" w:color="DCE3E7"/>
          <w:right w:val="single" w:sz="6" w:space="0" w:color="DCE3E7"/>
          <w:insideH w:val="single" w:sz="6" w:space="0" w:color="DCE3E7"/>
          <w:insideV w:val="single" w:sz="6" w:space="0" w:color="DCE3E7"/>
        </w:tblBorders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r>
              <w:rPr>
                <w:rFonts w:ascii="Calibri" w:hAnsi="Calibri"/>
                <w:b/>
                <w:i w:val="0"/>
                <w:color w:val="123B4A"/>
                <w:sz w:val="19"/>
              </w:rPr>
              <w:t>Sistema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9"/>
              </w:rPr>
              <w:t>SGP - Sistema de Gestão de Projetos de Software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r>
              <w:rPr>
                <w:rFonts w:ascii="Calibri" w:hAnsi="Calibri"/>
                <w:b/>
                <w:i w:val="0"/>
                <w:color w:val="123B4A"/>
                <w:sz w:val="19"/>
              </w:rPr>
              <w:t>Versão documental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1.0.2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r>
              <w:rPr>
                <w:rFonts w:ascii="Calibri" w:hAnsi="Calibri"/>
                <w:b/>
                <w:i w:val="0"/>
                <w:color w:val="123B4A"/>
                <w:sz w:val="19"/>
              </w:rPr>
              <w:t>Data de referência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28/07/2026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r>
              <w:rPr>
                <w:rFonts w:ascii="Calibri" w:hAnsi="Calibri"/>
                <w:b/>
                <w:i w:val="0"/>
                <w:color w:val="123B4A"/>
                <w:sz w:val="19"/>
              </w:rPr>
              <w:t>Situação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Plano concluído; MVP v1.0.0 homologado e publicado</w:t>
            </w:r>
          </w:p>
        </w:tc>
      </w:tr>
    </w:tbl>
    <w:p>
      <w:pPr>
        <w:spacing w:before="320"/>
      </w:pPr>
      <w:r>
        <w:rPr>
          <w:rFonts w:ascii="Calibri" w:hAnsi="Calibri"/>
          <w:b w:val="0"/>
          <w:i/>
          <w:color w:val="667680"/>
          <w:sz w:val="19"/>
        </w:rPr>
        <w:t>Responsável: Liliane de Freitas Terra Vieira</w:t>
      </w:r>
    </w:p>
    <w:p>
      <w:r>
        <w:br w:type="page"/>
      </w:r>
    </w:p>
    <w:p>
      <w:pPr>
        <w:pStyle w:val="Heading1"/>
      </w:pPr>
      <w:r>
        <w:t>1. Objetivo do plano</w:t>
      </w:r>
    </w:p>
    <w:p>
      <w:r>
        <w:rPr>
          <w:rFonts w:ascii="Calibri" w:hAnsi="Calibri"/>
          <w:b w:val="0"/>
          <w:i w:val="0"/>
          <w:color w:val="24313A"/>
          <w:sz w:val="21"/>
        </w:rPr>
        <w:t>Formalizar o fechamento do MVP 1.0 e impedir expansão de escopo durante a homologação final.</w:t>
      </w:r>
    </w:p>
    <w:p>
      <w:pPr>
        <w:pStyle w:val="Heading1"/>
      </w:pPr>
      <w:r>
        <w:t>2. Entregas concluídas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Base Laravel, PostgreSQL e autenticação.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Usuários, clientes, projetos e equipe.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Requisitos, tarefas, Kanban e histórico.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Documentos, comentários e anexos.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Dashboard, calendário, Gantt e identidade visual.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95 testes automatizados, 337 asserções e documentação pós-homologação.</w:t>
      </w:r>
    </w:p>
    <w:p>
      <w:pPr>
        <w:pStyle w:val="Heading1"/>
      </w:pPr>
      <w:r>
        <w:t>3. Linha de base técnica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CE3E7"/>
          <w:left w:val="single" w:sz="6" w:space="0" w:color="DCE3E7"/>
          <w:bottom w:val="single" w:sz="6" w:space="0" w:color="DCE3E7"/>
          <w:right w:val="single" w:sz="6" w:space="0" w:color="DCE3E7"/>
          <w:insideH w:val="single" w:sz="6" w:space="0" w:color="DCE3E7"/>
          <w:insideV w:val="single" w:sz="6" w:space="0" w:color="DCE3E7"/>
        </w:tblBorders>
      </w:tblPr>
      <w:tblGrid>
        <w:gridCol w:w="3200"/>
        <w:gridCol w:w="6160"/>
      </w:tblGrid>
      <w:tr>
        <w:trPr>
          <w:tblHeader w:val="true"/>
          <w:tblHeader w:val="true"/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Componente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Versão</w:t>
            </w:r>
          </w:p>
        </w:tc>
      </w:tr>
      <w:tr>
        <w:trPr>
          <w:cantSplit w:val="true"/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Laravel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12.64.0</w:t>
            </w:r>
          </w:p>
        </w:tc>
      </w:tr>
      <w:tr>
        <w:trPr>
          <w:cantSplit w:val="true"/>
          <w:cantSplit/>
        </w:trPr>
        <w:tc>
          <w:tcPr>
            <w:tcW w:type="dxa" w:w="3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PHPWord</w:t>
            </w:r>
          </w:p>
        </w:tc>
        <w:tc>
          <w:tcPr>
            <w:tcW w:type="dxa" w:w="61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1.4.0</w:t>
            </w:r>
          </w:p>
        </w:tc>
      </w:tr>
      <w:tr>
        <w:trPr>
          <w:cantSplit w:val="true"/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Dompdf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3.1.6</w:t>
            </w:r>
          </w:p>
        </w:tc>
      </w:tr>
      <w:tr>
        <w:trPr>
          <w:cantSplit w:val="true"/>
          <w:cantSplit/>
        </w:trPr>
        <w:tc>
          <w:tcPr>
            <w:tcW w:type="dxa" w:w="3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Tailwind CSS</w:t>
            </w:r>
          </w:p>
        </w:tc>
        <w:tc>
          <w:tcPr>
            <w:tcW w:type="dxa" w:w="61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3.4.19</w:t>
            </w:r>
          </w:p>
        </w:tc>
      </w:tr>
      <w:tr>
        <w:trPr>
          <w:cantSplit w:val="true"/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Alpine.js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3.15.12</w:t>
            </w:r>
          </w:p>
        </w:tc>
      </w:tr>
      <w:tr>
        <w:trPr>
          <w:cantSplit w:val="true"/>
          <w:cantSplit/>
        </w:trPr>
        <w:tc>
          <w:tcPr>
            <w:tcW w:type="dxa" w:w="3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Vite</w:t>
            </w:r>
          </w:p>
        </w:tc>
        <w:tc>
          <w:tcPr>
            <w:tcW w:type="dxa" w:w="61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7.3.6</w:t>
            </w:r>
          </w:p>
        </w:tc>
      </w:tr>
      <w:tr>
        <w:trPr>
          <w:cantSplit w:val="true"/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PHP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8.2 ou superior</w:t>
            </w:r>
          </w:p>
        </w:tc>
      </w:tr>
      <w:tr>
        <w:trPr>
          <w:cantSplit w:val="true"/>
          <w:cantSplit/>
        </w:trPr>
        <w:tc>
          <w:tcPr>
            <w:tcW w:type="dxa" w:w="3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Banco</w:t>
            </w:r>
          </w:p>
        </w:tc>
        <w:tc>
          <w:tcPr>
            <w:tcW w:type="dxa" w:w="61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PostgreSQL</w:t>
            </w:r>
          </w:p>
        </w:tc>
      </w:tr>
    </w:tbl>
    <w:p>
      <w:pPr>
        <w:spacing w:after="0"/>
      </w:pPr>
    </w:p>
    <w:p>
      <w:pPr>
        <w:pStyle w:val="Heading1"/>
      </w:pPr>
      <w:r>
        <w:t>4. Estratégia de fechamento</w:t>
      </w:r>
    </w:p>
    <w:p>
      <w:pPr>
        <w:pStyle w:val="ListNumber"/>
      </w:pPr>
      <w:r>
        <w:rPr>
          <w:rFonts w:ascii="Calibri" w:hAnsi="Calibri"/>
          <w:b w:val="0"/>
          <w:i w:val="0"/>
          <w:color w:val="24313A"/>
          <w:sz w:val="21"/>
        </w:rPr>
        <w:t>Correções de pré-release aplicadas.</w:t>
      </w:r>
    </w:p>
    <w:p>
      <w:pPr>
        <w:pStyle w:val="ListNumber"/>
      </w:pPr>
      <w:r>
        <w:rPr>
          <w:rFonts w:ascii="Calibri" w:hAnsi="Calibri"/>
          <w:b w:val="0"/>
          <w:i w:val="0"/>
          <w:color w:val="24313A"/>
          <w:sz w:val="21"/>
        </w:rPr>
        <w:t>95 testes automatizados e 337 asserções executados e aprovados.</w:t>
      </w:r>
    </w:p>
    <w:p>
      <w:pPr>
        <w:pStyle w:val="ListNumber"/>
      </w:pPr>
      <w:r>
        <w:rPr>
          <w:rFonts w:ascii="Calibri" w:hAnsi="Calibri"/>
          <w:b w:val="0"/>
          <w:i w:val="0"/>
          <w:color w:val="24313A"/>
          <w:sz w:val="21"/>
        </w:rPr>
        <w:t>Instalação e atualização validadas em PostgreSQL controlado.</w:t>
      </w:r>
    </w:p>
    <w:p>
      <w:pPr>
        <w:pStyle w:val="ListNumber"/>
      </w:pPr>
      <w:r>
        <w:rPr>
          <w:rFonts w:ascii="Calibri" w:hAnsi="Calibri"/>
          <w:b w:val="0"/>
          <w:i w:val="0"/>
          <w:color w:val="24313A"/>
          <w:sz w:val="21"/>
        </w:rPr>
        <w:t>Roteiro manual executado por perfil até o HOM-034.</w:t>
      </w:r>
    </w:p>
    <w:p>
      <w:pPr>
        <w:pStyle w:val="ListNumber"/>
      </w:pPr>
      <w:r>
        <w:rPr>
          <w:rFonts w:ascii="Calibri" w:hAnsi="Calibri"/>
          <w:b w:val="0"/>
          <w:i w:val="0"/>
          <w:color w:val="24313A"/>
          <w:sz w:val="21"/>
        </w:rPr>
        <w:t>Evidências registradas; nenhuma falha impeditiva ou alta permaneceu em aberto.</w:t>
      </w:r>
    </w:p>
    <w:p>
      <w:pPr>
        <w:pStyle w:val="ListNumber"/>
      </w:pPr>
      <w:r>
        <w:rPr>
          <w:rFonts w:ascii="Calibri" w:hAnsi="Calibri"/>
          <w:b w:val="0"/>
          <w:i w:val="0"/>
          <w:color w:val="24313A"/>
          <w:sz w:val="21"/>
        </w:rPr>
        <w:t>Homologação aprovada com ressalva operacional e tag v1.0.0 publicada no commit a5bc837.</w:t>
      </w:r>
    </w:p>
    <w:p>
      <w:pPr>
        <w:pStyle w:val="Heading1"/>
      </w:pPr>
      <w:r>
        <w:t>5. Critérios de aceite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Nenhuma falha impeditiva ou alta em aberto.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Permissões, downloads privados e isolamento aprovados.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Banco reconstruído por migrations e seeders.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Backup e restauração testados.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Página inicial, login, favicon e navegação identificados como SGP.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Documentos oficiais coerentes com código e banco.</w:t>
      </w:r>
    </w:p>
    <w:p>
      <w:pPr>
        <w:pStyle w:val="Heading1"/>
      </w:pPr>
      <w:r>
        <w:t>6. Evoluções posteriores ao MVP</w:t>
      </w:r>
    </w:p>
    <w:p>
      <w:r>
        <w:t>A próxima baseline documental aprovada é a BL-SGP-002, limitada à fundação SaaS multiempresa e à configuração adaptativa de projetos.</w:t>
      </w:r>
    </w:p>
    <w:p>
      <w:r>
        <w:t>Wiki, Sprints, reuniões, testes internos, gestão completa de baselines, contratos, impacto e IA permanecem como evoluções posteriores, sem compromisso de implementação na BL-SGP-002.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Wiki por projeto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Sprints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Reuniões e atas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Testes internos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Gantt avançado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Riscos e mudanças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Entregas e aceite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Indicadores avançados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IA assistiva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080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667680"/>
        <w:sz w:val="17"/>
      </w:rPr>
      <w:t xml:space="preserve">SGP  |  MVP 1.0.0  |  Página </w:t>
    </w:r>
    <w:r>
      <w:rPr>
        <w:rFonts w:ascii="Calibri" w:hAnsi="Calibri"/>
        <w:b w:val="0"/>
        <w:i w:val="0"/>
        <w:color w:val="667680"/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/>
        <w:b w:val="0"/>
        <w:i w:val="0"/>
        <w:color w:val="667680"/>
        <w:sz w:val="17"/>
      </w:rPr>
      <w:t xml:space="preserve"> de </w:t>
    </w:r>
    <w:r>
      <w:rPr>
        <w:rFonts w:ascii="Calibri" w:hAnsi="Calibri"/>
        <w:b w:val="0"/>
        <w:i w:val="0"/>
        <w:color w:val="667680"/>
        <w:sz w:val="17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i w:val="0"/>
        <w:color w:val="667680"/>
        <w:sz w:val="17"/>
      </w:rPr>
      <w:t>SGP  |  Plano de Projeto do MVP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431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23B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87EA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23B4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23B4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/>
      <w:b w:val="0"/>
      <w:i/>
      <w:iCs/>
      <w:color w:val="667680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ind w:left="720" w:hanging="36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0" w:lineRule="auto"/>
      <w:ind w:left="720" w:hanging="360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05 - Plano de Projeto MVP - v1.0.0</dc:title>
  <dc:subject>Documentação oficial do SGP MVP 1.0.0</dc:subject>
  <dc:creator>Liliane de Freitas Terra Vieira</dc:creator>
  <cp:keywords>SGP, requisitos, homologação, MVP 1.0.0</cp:keywords>
  <dc:description>Documento atualizado com base na implementação consolidada da pré-release.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