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530352" cy="530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gp-logo-10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530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 w:cs="Liberation Sans"/>
          <w:b/>
          <w:color w:val="123B4A"/>
          <w:sz w:val="36"/>
        </w:rPr>
        <w:t xml:space="preserve">  SGP</w:t>
      </w:r>
    </w:p>
    <w:p>
      <w:pPr>
        <w:spacing w:before="280" w:after="120" w:line="240" w:lineRule="auto"/>
      </w:pPr>
      <w:r>
        <w:rPr>
          <w:rFonts w:ascii="Liberation Sans" w:hAnsi="Liberation Sans" w:eastAsia="Liberation Sans" w:cs="Liberation Sans"/>
          <w:b/>
          <w:color w:val="2E8B74"/>
          <w:sz w:val="19"/>
        </w:rPr>
        <w:t>BL-SGP-002</w:t>
      </w:r>
    </w:p>
    <w:p>
      <w:pPr>
        <w:pStyle w:val="Title"/>
        <w:keepNext/>
      </w:pPr>
      <w:r>
        <w:t>Termo de Aprovação da Baseline 2.0</w:t>
      </w:r>
    </w:p>
    <w:p>
      <w:pPr>
        <w:pStyle w:val="Subtitle"/>
      </w:pPr>
      <w:r>
        <w:t>Formalização da referência documental para a próxima etapa de desenvolvimento.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cantSplit/>
          <w:tblHeader w:val="true"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Informação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 de Gestão de Projetos de Software (SGP)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Identificador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BL-SGP-002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Versão do documento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Situação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Revisado e aprovado para implementação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Data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27/07/2026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Responsável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Liliane Freitas</w:t>
            </w:r>
          </w:p>
        </w:tc>
      </w:tr>
    </w:tbl>
    <w:p>
      <w:pPr>
        <w:spacing w:before="0" w:after="40" w:line="240" w:lineRule="auto"/>
      </w:pPr>
    </w:p>
    <w:p>
      <w:r/>
    </w:p>
    <w:p>
      <w:pPr>
        <w:spacing w:before="200" w:after="0" w:line="288" w:lineRule="auto"/>
      </w:pPr>
      <w:r>
        <w:rPr>
          <w:rFonts w:ascii="Liberation Sans" w:hAnsi="Liberation Sans" w:eastAsia="Liberation Sans" w:cs="Liberation Sans"/>
          <w:i/>
          <w:color w:val="687780"/>
          <w:sz w:val="20"/>
        </w:rPr>
        <w:t>Estrutura conectada. Projetos organizados, decisões rastreáveis e software em evolução.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1. Declaração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 w:val="0"/>
          <w:color w:val="24313A"/>
        </w:rPr>
        <w:t>A BL-SGP-002, denominada Fundação SaaS Multiempresa e Configuração Adaptativa de Projetos, está aprovada como referência documental para a implementação seguinte do SGP.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2. Limite da aprovação</w:t>
      </w:r>
    </w:p>
    <w:p>
      <w:r>
        <w:t>A implementação da BL-SGP-002 deve partir da BL-SGP-001 consolidada e respeitar o encerramento da homologação do MVP antes da liberação externa.</w:t>
      </w:r>
    </w:p>
    <w:p>
      <w:pPr>
        <w:spacing w:before="120" w:after="180" w:line="276" w:lineRule="auto"/>
        <w:ind w:left="173" w:right="173"/>
        <w:shd w:fill="EEF4F5"/>
        <w:pBdr>
          <w:left w:val="single" w:sz="22" w:space="6" w:color="D89427"/>
        </w:pBdr>
      </w:pPr>
      <w:r>
        <w:rPr>
          <w:rFonts w:ascii="Liberation Sans" w:hAnsi="Liberation Sans" w:eastAsia="Liberation Sans" w:cs="Liberation Sans"/>
          <w:b/>
          <w:color w:val="D89427"/>
        </w:rPr>
        <w:t xml:space="preserve">Importante: </w:t>
      </w:r>
      <w:r>
        <w:rPr>
          <w:rFonts w:ascii="Liberation Sans" w:hAnsi="Liberation Sans" w:eastAsia="Liberation Sans" w:cs="Liberation Sans"/>
          <w:color w:val="24313A"/>
        </w:rPr>
        <w:t>Esta aprovação não significa que a release de software 2.0 esteja pronta. O código, o banco, a migração e os testes ainda serão executados e homologados.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3. Escopo comprometido</w:t>
      </w:r>
    </w:p>
    <w:p>
      <w:pPr>
        <w:pStyle w:val="ListBullet"/>
      </w:pPr>
      <w:r>
        <w:t>Fundação SaaS multiempresa.</w:t>
      </w:r>
    </w:p>
    <w:p>
      <w:pPr>
        <w:pStyle w:val="ListBullet"/>
      </w:pPr>
      <w:r>
        <w:t>Isolamento de dados e arquivos por organização.</w:t>
      </w:r>
    </w:p>
    <w:p>
      <w:pPr>
        <w:pStyle w:val="ListBullet"/>
      </w:pPr>
      <w:r>
        <w:t>Papéis e vínculos por organização.</w:t>
      </w:r>
    </w:p>
    <w:p>
      <w:pPr>
        <w:pStyle w:val="ListBullet"/>
      </w:pPr>
      <w:r>
        <w:t>Migração segura do legado.</w:t>
      </w:r>
    </w:p>
    <w:p>
      <w:pPr>
        <w:pStyle w:val="ListBullet"/>
      </w:pPr>
      <w:r>
        <w:t>Separação entre organização e demandante.</w:t>
      </w:r>
    </w:p>
    <w:p>
      <w:pPr>
        <w:pStyle w:val="ListBullet"/>
      </w:pPr>
      <w:r>
        <w:t>Configuração adaptativa do projeto.</w:t>
      </w:r>
    </w:p>
    <w:p>
      <w:pPr>
        <w:pStyle w:val="ListBullet"/>
      </w:pPr>
      <w:r>
        <w:t>Auditoria e testes de isolamento.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4. Evoluções reconhecidas, mas adiadas</w:t>
      </w:r>
    </w:p>
    <w:p>
      <w:pPr>
        <w:pStyle w:val="ListBullet"/>
      </w:pPr>
      <w:r>
        <w:t>Gestão completa de baselines, mudanças, contratos e impacto contratual.</w:t>
      </w:r>
    </w:p>
    <w:p>
      <w:pPr>
        <w:pStyle w:val="ListBullet"/>
      </w:pPr>
      <w:r>
        <w:t>Assistência inteligente contextual com IA generativa.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5. Aprovação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2500"/>
        <w:gridCol w:w="2860"/>
        <w:gridCol w:w="1400"/>
      </w:tblGrid>
      <w:tr>
        <w:trPr>
          <w:cantSplit/>
          <w:tblHeader w:val="true"/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Papel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Data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Liliane Freitas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Responsável pelo produto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Aprovada para implementação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26/07/2026</w:t>
            </w:r>
          </w:p>
        </w:tc>
      </w:tr>
    </w:tbl>
    <w:p>
      <w:pPr>
        <w:spacing w:before="0" w:after="40" w:line="24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 w:cs="Liberation Sans"/>
        <w:color w:val="687780"/>
        <w:sz w:val="17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  <w:pBdr>
        <w:bottom w:val="single" w:sz="6" w:space="5" w:color="D7E3E5"/>
      </w:pBdr>
    </w:pPr>
    <w:r>
      <w:rPr>
        <w:rFonts w:ascii="Liberation Sans" w:hAnsi="Liberation Sans" w:eastAsia="Liberation Sans" w:cs="Liberation Sans"/>
        <w:b/>
        <w:color w:val="123B4A"/>
        <w:sz w:val="18"/>
      </w:rPr>
      <w:t>SGP</w:t>
    </w:r>
    <w:r>
      <w:rPr>
        <w:rFonts w:ascii="Liberation Sans" w:hAnsi="Liberation Sans" w:eastAsia="Liberation Sans" w:cs="Liberation Sans"/>
        <w:color w:val="687780"/>
        <w:sz w:val="17"/>
      </w:rPr>
      <w:t xml:space="preserve">  |  BL-SGP-002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suff w:val="tab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8">
    <w:nsid w:val="FFFFFF89"/>
    <w:multiLevelType w:val="singleLevel"/>
    <w:tmpl w:val="29761A62"/>
    <w:lvl w:ilvl="0">
      <w:start w:val="1"/>
      <w:suff w:val="tab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  <w:rPr>
        <w:rFonts w:ascii="Liberation Sans" w:hAnsi="Liberation Sans" w:hint="default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iberation Sans" w:hAnsi="Liberation Sans" w:eastAsia="Liberation Sans" w:cs="Liberation Sans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D5D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23B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2E8B7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 w:cs="Liberation Sans"/>
      <w:b/>
      <w:color w:val="123B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Liberation Sans" w:hAnsi="Liberation Sans" w:eastAsia="Liberation Sans" w:cs="Liberation Sans"/>
      <w:b w:val="0"/>
      <w:i/>
      <w:iCs/>
      <w:color w:val="6877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00 - Termo de Aprovação da Baseline 2.0</dc:title>
  <dc:subject>Documentação do SGP</dc:subject>
  <dc:creator>Liliane Freitas</dc:creator>
  <cp:keywords>SGP, baseline, requisitos, rastreabilidade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