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RN-SGP-002</w:t>
      </w:r>
    </w:p>
    <w:p>
      <w:pPr>
        <w:pStyle w:val="Title"/>
        <w:keepNext/>
      </w:pPr>
      <w:r>
        <w:t>Regras de Negócio</w:t>
      </w:r>
    </w:p>
    <w:p>
      <w:pPr>
        <w:pStyle w:val="Subtitle"/>
      </w:pPr>
      <w:r>
        <w:t>Regras novas e refinadas pela BL-SGP-002, preservando as regras vigentes da BL-SGP-001.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Regra de versionamento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BL-SGP-001 registra RN001 a RN018, RN021 a RN025 e RN042 a RN044. As lacunas e o intervalo RN045 a RN055 permanecem reservados para preservar o histórico. A BL-SGP-002 inicia em RN056. Somente RN056 a RN072 integram a implementação imediata; RN073 a RN090 permanecem como evolução futura.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SaaS multiempresa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>RN056 - Todo dado de negócio sujeito ao tenant deverá pertencer a uma organização; contas globais e tabelas técnicas são exceções explicitamente documentadas.</w:t>
      </w:r>
      <w:r>
        <w:rPr>
          <w:rFonts w:ascii="Liberation Sans" w:hAnsi="Liberation Sans" w:eastAsia="Liberation Sans" w:cs="Liberation Sans"/>
          <w:color w:val="24313A"/>
        </w:rPr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RN057 - </w:t>
      </w:r>
      <w:r>
        <w:rPr>
          <w:rFonts w:ascii="Liberation Sans" w:hAnsi="Liberation Sans" w:eastAsia="Liberation Sans" w:cs="Liberation Sans"/>
          <w:color w:val="24313A"/>
        </w:rPr>
        <w:t>O isolamento entre organizações será obrigatório e aplicado no servidor.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RN058 - </w:t>
      </w:r>
      <w:r>
        <w:rPr>
          <w:rFonts w:ascii="Liberation Sans" w:hAnsi="Liberation Sans" w:eastAsia="Liberation Sans" w:cs="Liberation Sans"/>
          <w:color w:val="24313A"/>
        </w:rPr>
        <w:t>Operações de negócio exigirão uma organização ativa e autorizada.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RN059 - </w:t>
      </w:r>
      <w:r>
        <w:rPr>
          <w:rFonts w:ascii="Liberation Sans" w:hAnsi="Liberation Sans" w:eastAsia="Liberation Sans" w:cs="Liberation Sans"/>
          <w:color w:val="24313A"/>
        </w:rPr>
        <w:t>Um usuário poderá possuir vínculos com mais de uma organização.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RN060 - </w:t>
      </w:r>
      <w:r>
        <w:rPr>
          <w:rFonts w:ascii="Liberation Sans" w:hAnsi="Liberation Sans" w:eastAsia="Liberation Sans" w:cs="Liberation Sans"/>
          <w:color w:val="24313A"/>
        </w:rPr>
        <w:t>O papel do usuário será independente em cada organização.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RN061 - </w:t>
      </w:r>
      <w:r>
        <w:rPr>
          <w:rFonts w:ascii="Liberation Sans" w:hAnsi="Liberation Sans" w:eastAsia="Liberation Sans" w:cs="Liberation Sans"/>
          <w:color w:val="24313A"/>
        </w:rPr>
        <w:t>Privilégios administrativos comuns não concederão acesso automático a outras organizações.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RN062 - </w:t>
      </w:r>
      <w:r>
        <w:rPr>
          <w:rFonts w:ascii="Liberation Sans" w:hAnsi="Liberation Sans" w:eastAsia="Liberation Sans" w:cs="Liberation Sans"/>
          <w:color w:val="24313A"/>
        </w:rPr>
        <w:t>Todo projeto pertencerá obrigatoriamente a uma organização.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RN063 - </w:t>
      </w:r>
      <w:r>
        <w:rPr>
          <w:rFonts w:ascii="Liberation Sans" w:hAnsi="Liberation Sans" w:eastAsia="Liberation Sans" w:cs="Liberation Sans"/>
          <w:color w:val="24313A"/>
        </w:rPr>
        <w:t>Todo cliente ou demandante pertencerá obrigatoriamente a uma organização.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RN064 - </w:t>
      </w:r>
      <w:r>
        <w:rPr>
          <w:rFonts w:ascii="Liberation Sans" w:hAnsi="Liberation Sans" w:eastAsia="Liberation Sans" w:cs="Liberation Sans"/>
          <w:color w:val="24313A"/>
        </w:rPr>
        <w:t>O vínculo do projeto com cliente ou demandante será opcional.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RN065 - </w:t>
      </w:r>
      <w:r>
        <w:rPr>
          <w:rFonts w:ascii="Liberation Sans" w:hAnsi="Liberation Sans" w:eastAsia="Liberation Sans" w:cs="Liberation Sans"/>
          <w:color w:val="24313A"/>
        </w:rPr>
        <w:t>Relacionamentos entre registros de organizações distintas serão proibidos.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RN066 - </w:t>
      </w:r>
      <w:r>
        <w:rPr>
          <w:rFonts w:ascii="Liberation Sans" w:hAnsi="Liberation Sans" w:eastAsia="Liberation Sans" w:cs="Liberation Sans"/>
          <w:color w:val="24313A"/>
        </w:rPr>
        <w:t>A suspensão da organização não excluirá dados, arquivos ou histórico.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RN067 - </w:t>
      </w:r>
      <w:r>
        <w:rPr>
          <w:rFonts w:ascii="Liberation Sans" w:hAnsi="Liberation Sans" w:eastAsia="Liberation Sans" w:cs="Liberation Sans"/>
          <w:color w:val="24313A"/>
        </w:rPr>
        <w:t>Códigos e unicidades de negócio serão avaliados dentro da organização.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RN068 - </w:t>
      </w:r>
      <w:r>
        <w:rPr>
          <w:rFonts w:ascii="Liberation Sans" w:hAnsi="Liberation Sans" w:eastAsia="Liberation Sans" w:cs="Liberation Sans"/>
          <w:color w:val="24313A"/>
        </w:rPr>
        <w:t>Dados legados serão associados a uma organização inicial antes da obrigatoriedade das chaves.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RN069 - </w:t>
      </w:r>
      <w:r>
        <w:rPr>
          <w:rFonts w:ascii="Liberation Sans" w:hAnsi="Liberation Sans" w:eastAsia="Liberation Sans" w:cs="Liberation Sans"/>
          <w:color w:val="24313A"/>
        </w:rPr>
        <w:t>Arquivos, modelos e exportações respeitarão o contexto organizacional.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RN070 - </w:t>
      </w:r>
      <w:r>
        <w:rPr>
          <w:rFonts w:ascii="Liberation Sans" w:hAnsi="Liberation Sans" w:eastAsia="Liberation Sans" w:cs="Liberation Sans"/>
          <w:color w:val="24313A"/>
        </w:rPr>
        <w:t>Alterações de organização, vínculo e papel deverão ser auditadas.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Baselines, mudanças e impacto contratual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RN071 - </w:t>
      </w:r>
      <w:r>
        <w:rPr>
          <w:rFonts w:ascii="Liberation Sans" w:hAnsi="Liberation Sans" w:eastAsia="Liberation Sans" w:cs="Liberation Sans"/>
          <w:color w:val="24313A"/>
        </w:rPr>
        <w:t>Todo projeto deverá possuir uma modalidade financeira.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RN072 - </w:t>
      </w:r>
      <w:r>
        <w:rPr>
          <w:rFonts w:ascii="Liberation Sans" w:hAnsi="Liberation Sans" w:eastAsia="Liberation Sans" w:cs="Liberation Sans"/>
          <w:color w:val="24313A"/>
        </w:rPr>
        <w:t>Valores monetários poderão ser classificados como não aplicáveis.</w:t>
      </w:r>
    </w:p>
    <w:p>
      <w:r>
        <w:t>Controle de escopo: RN073 a RN080 descrevem a capacidade futura de baselines, mudanças, contratos e impacto; não integram a implementação da BL-SGP-002.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RN073 - </w:t>
      </w:r>
      <w:r>
        <w:rPr>
          <w:rFonts w:ascii="Liberation Sans" w:hAnsi="Liberation Sans" w:eastAsia="Liberation Sans" w:cs="Liberation Sans"/>
          <w:color w:val="24313A"/>
        </w:rPr>
        <w:t>Uma mudança não poderá alterar uma baseline congelada.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RN074 - </w:t>
      </w:r>
      <w:r>
        <w:rPr>
          <w:rFonts w:ascii="Liberation Sans" w:hAnsi="Liberation Sans" w:eastAsia="Liberation Sans" w:cs="Liberation Sans"/>
          <w:color w:val="24313A"/>
        </w:rPr>
        <w:t>Toda mudança deverá ter seu impacto analisado antes da aprovação.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RN075 - </w:t>
      </w:r>
      <w:r>
        <w:rPr>
          <w:rFonts w:ascii="Liberation Sans" w:hAnsi="Liberation Sans" w:eastAsia="Liberation Sans" w:cs="Liberation Sans"/>
          <w:color w:val="24313A"/>
        </w:rPr>
        <w:t>Mudanças serão classificadas como incluídas, adicionais, bonificadas, rejeitadas ou postergadas.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RN076 - </w:t>
      </w:r>
      <w:r>
        <w:rPr>
          <w:rFonts w:ascii="Liberation Sans" w:hAnsi="Liberation Sans" w:eastAsia="Liberation Sans" w:cs="Liberation Sans"/>
          <w:color w:val="24313A"/>
        </w:rPr>
        <w:t>Custo interno e preço de venda serão informações distintas.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RN077 - </w:t>
      </w:r>
      <w:r>
        <w:rPr>
          <w:rFonts w:ascii="Liberation Sans" w:hAnsi="Liberation Sans" w:eastAsia="Liberation Sans" w:cs="Liberation Sans"/>
          <w:color w:val="24313A"/>
        </w:rPr>
        <w:t>Uma nova baseline somente será aprovada depois das aprovações exigidas.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RN078 - </w:t>
      </w:r>
      <w:r>
        <w:rPr>
          <w:rFonts w:ascii="Liberation Sans" w:hAnsi="Liberation Sans" w:eastAsia="Liberation Sans" w:cs="Liberation Sans"/>
          <w:color w:val="24313A"/>
        </w:rPr>
        <w:t>Todo aditivo deverá estar relacionado às mudanças que o justificaram.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RN079 - </w:t>
      </w:r>
      <w:r>
        <w:rPr>
          <w:rFonts w:ascii="Liberation Sans" w:hAnsi="Liberation Sans" w:eastAsia="Liberation Sans" w:cs="Liberation Sans"/>
          <w:color w:val="24313A"/>
        </w:rPr>
        <w:t>O progresso deverá ser calculado em relação à baseline de referência.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RN080 - </w:t>
      </w:r>
      <w:r>
        <w:rPr>
          <w:rFonts w:ascii="Liberation Sans" w:hAnsi="Liberation Sans" w:eastAsia="Liberation Sans" w:cs="Liberation Sans"/>
          <w:color w:val="24313A"/>
        </w:rPr>
        <w:t>A documentação deverá preservar a comparação com a baseline anterior.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Assistência inteligente</w:t>
      </w:r>
    </w:p>
    <w:p>
      <w:r>
        <w:t>Controle de escopo: RN081 a RN090 são diretrizes futuras e não autorizam integração, tabelas ou consumo de IA nesta entrega.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RN081 - </w:t>
      </w:r>
      <w:r>
        <w:rPr>
          <w:rFonts w:ascii="Liberation Sans" w:hAnsi="Liberation Sans" w:eastAsia="Liberation Sans" w:cs="Liberation Sans"/>
          <w:color w:val="24313A"/>
        </w:rPr>
        <w:t>A IA somente poderá utilizar informações autorizadas da organização ativa.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RN082 - </w:t>
      </w:r>
      <w:r>
        <w:rPr>
          <w:rFonts w:ascii="Liberation Sans" w:hAnsi="Liberation Sans" w:eastAsia="Liberation Sans" w:cs="Liberation Sans"/>
          <w:color w:val="24313A"/>
        </w:rPr>
        <w:t>Nenhuma sugestão de IA será aplicada ou salva como conteúdo validado sem confirmação humana.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RN083 - </w:t>
      </w:r>
      <w:r>
        <w:rPr>
          <w:rFonts w:ascii="Liberation Sans" w:hAnsi="Liberation Sans" w:eastAsia="Liberation Sans" w:cs="Liberation Sans"/>
          <w:color w:val="24313A"/>
        </w:rPr>
        <w:t>Conteúdo sugerido pela IA será inicialmente classificado como rascunho.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RN084 - </w:t>
      </w:r>
      <w:r>
        <w:rPr>
          <w:rFonts w:ascii="Liberation Sans" w:hAnsi="Liberation Sans" w:eastAsia="Liberation Sans" w:cs="Liberation Sans"/>
          <w:color w:val="24313A"/>
        </w:rPr>
        <w:t>Quando faltarem dados relevantes, a IA deverá perguntar ou declarar a limitação, sem inventar fatos.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RN085 - </w:t>
      </w:r>
      <w:r>
        <w:rPr>
          <w:rFonts w:ascii="Liberation Sans" w:hAnsi="Liberation Sans" w:eastAsia="Liberation Sans" w:cs="Liberation Sans"/>
          <w:color w:val="24313A"/>
        </w:rPr>
        <w:t>O histórico distinguirá conteúdo humano, sugestão de IA e conteúdo validado.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RN086 - </w:t>
      </w:r>
      <w:r>
        <w:rPr>
          <w:rFonts w:ascii="Liberation Sans" w:hAnsi="Liberation Sans" w:eastAsia="Liberation Sans" w:cs="Liberation Sans"/>
          <w:color w:val="24313A"/>
        </w:rPr>
        <w:t>A IA não aprovará mudanças, não congelará baselines e não confirmará aderência ao MPS.BR.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RN087 - </w:t>
      </w:r>
      <w:r>
        <w:rPr>
          <w:rFonts w:ascii="Liberation Sans" w:hAnsi="Liberation Sans" w:eastAsia="Liberation Sans" w:cs="Liberation Sans"/>
          <w:color w:val="24313A"/>
        </w:rPr>
        <w:t>Valores comerciais e estimativas sugeridas pela IA dependerão de validação responsável.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RN088 - </w:t>
      </w:r>
      <w:r>
        <w:rPr>
          <w:rFonts w:ascii="Liberation Sans" w:hAnsi="Liberation Sans" w:eastAsia="Liberation Sans" w:cs="Liberation Sans"/>
          <w:color w:val="24313A"/>
        </w:rPr>
        <w:t>A organização poderá habilitar, desabilitar ou limitar a assistência.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RN089 - </w:t>
      </w:r>
      <w:r>
        <w:rPr>
          <w:rFonts w:ascii="Liberation Sans" w:hAnsi="Liberation Sans" w:eastAsia="Liberation Sans" w:cs="Liberation Sans"/>
          <w:color w:val="24313A"/>
        </w:rPr>
        <w:t>Conteúdo sigiloso respeitará permissões, políticas e classificação da informação.</w:t>
      </w:r>
    </w:p>
    <w:p>
      <w:pPr>
        <w:spacing w:before="0" w:after="100" w:line="276" w:lineRule="auto"/>
      </w:pPr>
      <w:r>
        <w:rPr>
          <w:rFonts w:ascii="Liberation Sans" w:hAnsi="Liberation Sans" w:eastAsia="Liberation Sans" w:cs="Liberation Sans"/>
          <w:b/>
          <w:color w:val="1D5D73"/>
        </w:rPr>
        <w:t xml:space="preserve">RN090 - </w:t>
      </w:r>
      <w:r>
        <w:rPr>
          <w:rFonts w:ascii="Liberation Sans" w:hAnsi="Liberation Sans" w:eastAsia="Liberation Sans" w:cs="Liberation Sans"/>
          <w:color w:val="24313A"/>
        </w:rPr>
        <w:t>O consumo da IA poderá ser controlado por organização, plano ou créditos.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Regras alteradas da Baseline 1.0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cantSplit/>
          <w:tblHeader w:val="true"/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Regra original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Refinamento vigente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RN001 - Todo projeto deve estar vinculado a cliente ou unidade.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Substituída na BL-SGP-002: o projeto pertence obrigatoriamente à organização e o demandante passa a ser opcional.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RN002 - Todo projeto deve possuir responsável principal ativo.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Mantida; o responsável deve possuir vínculo organizacional e participação autorizada no projeto.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RN003 - O código do projeto é gerado pelo sistema.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Mantida; a unicidade passa a ser avaliada dentro da organização.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RN005 - Registros históricos não são excluídos fisicamente pela interface.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Mantida e reforçada para organização, vínculos, arquivos e auditoria.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RN009 - Perfil global e papel no projeto são independentes.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Mantida e ampliada com uma camada distinta de papel organizacional.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RN018 - Sugestões de IA exigirão confirmação humana.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Permanece como diretriz futura e é detalhada por RN081 a RN090, sem implementação nesta baseline.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RN-SGP-002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Regras de Negócio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