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30352" cy="530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gp-logo-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530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 w:cs="Liberation Sans"/>
          <w:b/>
          <w:color w:val="123B4A"/>
          <w:sz w:val="36"/>
        </w:rPr>
        <w:t xml:space="preserve">  SGP</w:t>
      </w:r>
    </w:p>
    <w:p>
      <w:pPr>
        <w:spacing w:before="280" w:after="120" w:line="240" w:lineRule="auto"/>
      </w:pPr>
      <w:r>
        <w:rPr>
          <w:rFonts w:ascii="Liberation Sans" w:hAnsi="Liberation Sans" w:eastAsia="Liberation Sans" w:cs="Liberation Sans"/>
          <w:b/>
          <w:color w:val="2E8B74"/>
          <w:sz w:val="19"/>
        </w:rPr>
        <w:t>EF-SGP-002</w:t>
      </w:r>
    </w:p>
    <w:p>
      <w:pPr>
        <w:pStyle w:val="Title"/>
        <w:keepNext/>
      </w:pPr>
      <w:r>
        <w:t>Especificação Funcional</w:t>
      </w:r>
    </w:p>
    <w:p>
      <w:pPr>
        <w:pStyle w:val="Subtitle"/>
      </w:pPr>
      <w:r>
        <w:t>Comportamentos funcionais aprovados para a Fundação SaaS e a configuração adaptativa.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Informação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 de Gestão de Projetos de Software (SGP)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EF-SGP-002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Versão do documento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Situação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Revisado e aprovado para implementação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Responsável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Liliane Freitas</w:t>
            </w:r>
          </w:p>
        </w:tc>
      </w:tr>
    </w:tbl>
    <w:p>
      <w:pPr>
        <w:spacing w:before="0" w:after="40" w:line="240" w:lineRule="auto"/>
      </w:pPr>
    </w:p>
    <w:p>
      <w:r/>
    </w:p>
    <w:p>
      <w:pPr>
        <w:spacing w:before="200" w:after="0" w:line="288" w:lineRule="auto"/>
      </w:pPr>
      <w:r>
        <w:rPr>
          <w:rFonts w:ascii="Liberation Sans" w:hAnsi="Liberation Sans" w:eastAsia="Liberation Sans" w:cs="Liberation Sans"/>
          <w:i/>
          <w:color w:val="687780"/>
          <w:sz w:val="20"/>
        </w:rPr>
        <w:t>Estrutura conectada. Projetos organizados, decisões rastreáveis e software em evolução.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1. Herança funcional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Os módulos da BL-SGP-001 continuam válidos. Esta especificação descreve os comportamentos novos ou alterados pela BL-SGP-002.</w:t>
      </w:r>
    </w:p>
    <w:p>
      <w:pPr>
        <w:pStyle w:val="Heading2"/>
      </w:pPr>
      <w:r>
        <w:t>1.1 Perfis e camadas de autorização</w:t>
      </w:r>
    </w:p>
    <w:p>
      <w:r>
        <w:t>Perfil global: o Administrador existente passa a representar administração excepcional da plataforma; o perfil Usuário permanece como conta comum.</w:t>
      </w:r>
    </w:p>
    <w:p>
      <w:r>
        <w:t>Papéis organizacionais iniciais: Proprietário, Administrador, Membro e Leitor. Esses papéis controlam o espaço da organização e não substituem os papéis específicos de cada projeto.</w:t>
      </w:r>
    </w:p>
    <w:p>
      <w:r>
        <w:t>Papéis de projeto preservados: Gerente de Projetos, Analista de Requisitos, Desenvolvedor, Testador, DBA, Cliente, Validador e Observador.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2. Organizações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Administradores autorizados criam e mantêm organizações. A suspensão bloqueia o uso operacional, preservando histórico, documentos e vínculos.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/>
          <w:color w:val="24313A"/>
        </w:rPr>
        <w:t>Rastreabilidade: RF061 a RF064; RN056, RN066; UC017, UC018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3. Vínculos e papéis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Uma conta pode participar de várias organizações. O papel é definido no vínculo e não acompanha automaticamente a conta em outros espaços.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/>
          <w:color w:val="24313A"/>
        </w:rPr>
        <w:t>Rastreabilidade: RF065, RF066, RF076, RF078; RN059 a RN061; UC019, UC020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4. Contexto organizacional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Toda requisição de negócio usa uma organização ativa autorizada. A troca de contexto recarrega permissões e impede reutilização de dados do tenant anterior.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/>
          <w:color w:val="24313A"/>
        </w:rPr>
        <w:t>Rastreabilidade: RF067 a RF069, RF077; RN057, RN058; UC021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5. Clientes e projetos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Clientes ou demandantes pertencem à organização. Todo projeto pertence à organização e pode ter client_id nulo.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/>
          <w:color w:val="24313A"/>
        </w:rPr>
        <w:t>Rastreabilidade: RF070, RF074, RF079; RN062 a RN065; UC022, UC023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6. Configuração adaptativa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No cadastro do projeto, a interface apresenta explicações para natureza, tratamento financeiro, nível de gestão e metodologia. As quatro escolhas são independentes.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/>
          <w:color w:val="24313A"/>
        </w:rPr>
        <w:t>Rastreabilidade: RF081 a RF086; RN071, RN072; UC024, UC025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7. Migração e auditoria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Dados existentes são associados à organização inicial antes da ativação das restrições. Ações estruturais registram organização, usuário, data e resultado.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/>
          <w:color w:val="24313A"/>
        </w:rPr>
        <w:t>Rastreabilidade: RF071, RF073; RN068, RN070; UC026, UC027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8. Arquivos e exportações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Documentos, anexos, modelos e exportações só podem ser consultados dentro da organização ativa e mediante autorização.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/>
          <w:color w:val="24313A"/>
        </w:rPr>
        <w:t>Rastreabilidade: RF072; RN069; UC028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9. Explicação dos níveis de gestão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000"/>
        <w:gridCol w:w="4760"/>
      </w:tblGrid>
      <w:tr>
        <w:trPr>
          <w:cantSplit/>
          <w:tblHeader w:val="true"/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Uso indicado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Capacidades</w:t>
            </w:r>
          </w:p>
        </w:tc>
      </w:tr>
      <w:tr>
        <w:trPr>
          <w:cantSplit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Simplificado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Protótipos, MVPs e projetos pequenos.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Usa os recursos essenciais já disponíveis. Controles adicionais continuam opcionais ou futuros.</w:t>
            </w:r>
          </w:p>
        </w:tc>
      </w:tr>
      <w:tr>
        <w:trPr>
          <w:cantSplit/>
          <w:cantSplit/>
        </w:trPr>
        <w:tc>
          <w:tcPr>
            <w:tcW w:type="dxa" w:w="16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Intermediário</w:t>
            </w:r>
          </w:p>
        </w:tc>
        <w:tc>
          <w:tcPr>
            <w:tcW w:type="dxa" w:w="3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Projetos institucionais ou comerciais com controle formal.</w:t>
            </w:r>
          </w:p>
        </w:tc>
        <w:tc>
          <w:tcPr>
            <w:tcW w:type="dxa" w:w="47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Define o grau de formalização esperado. Riscos, baselines, testes e aprovações serão aplicados quando seus módulos forem implementados.</w:t>
            </w:r>
          </w:p>
        </w:tc>
      </w:tr>
      <w:tr>
        <w:trPr>
          <w:cantSplit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Completo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Projetos críticos, contratos complexos e ambientes auditáveis.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Orienta a adoção futura de gestão de configuração, medição, auditoria, impacto contratual e evidências.</w:t>
            </w:r>
          </w:p>
        </w:tc>
      </w:tr>
    </w:tbl>
    <w:p>
      <w:pPr>
        <w:spacing w:before="0" w:after="40" w:line="240" w:lineRule="auto"/>
      </w:pPr>
    </w:p>
    <w:p>
      <w:r>
        <w:t>A seleção do nível não habilita, oculta ou remove módulos nesta entrega. Ela registra a intenção de gestão, apresenta explicações e prepara a aplicação futura das capacidades.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10. Fluxos futuros aprovados, mas não implementados</w:t>
      </w:r>
    </w:p>
    <w:p>
      <w:pPr>
        <w:pStyle w:val="ListBullet"/>
      </w:pPr>
      <w:r>
        <w:t>Registrar contratos e capacidade contratada.</w:t>
      </w:r>
    </w:p>
    <w:p>
      <w:pPr>
        <w:pStyle w:val="ListBullet"/>
      </w:pPr>
      <w:r>
        <w:t>Congelar, comparar e substituir baselines.</w:t>
      </w:r>
    </w:p>
    <w:p>
      <w:pPr>
        <w:pStyle w:val="ListBullet"/>
      </w:pPr>
      <w:r>
        <w:t>Analisar mudanças em esforço, prazo, custo e preço.</w:t>
      </w:r>
    </w:p>
    <w:p>
      <w:pPr>
        <w:pStyle w:val="ListBullet"/>
      </w:pPr>
      <w:r>
        <w:t>Projetar esgotamento contratual e necessidade de aditivo.</w:t>
      </w:r>
    </w:p>
    <w:p>
      <w:pPr>
        <w:pStyle w:val="ListBullet"/>
      </w:pPr>
      <w:r>
        <w:t>Abrir assistente de IA contextual e aplicar sugestões validadas.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87780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6" w:space="5" w:color="D7E3E5"/>
      </w:pBdr>
    </w:pPr>
    <w:r>
      <w:rPr>
        <w:rFonts w:ascii="Liberation Sans" w:hAnsi="Liberation Sans" w:eastAsia="Liberation Sans" w:cs="Liberation Sans"/>
        <w:b/>
        <w:color w:val="123B4A"/>
        <w:sz w:val="18"/>
      </w:rPr>
      <w:t>SGP</w:t>
    </w:r>
    <w:r>
      <w:rPr>
        <w:rFonts w:ascii="Liberation Sans" w:hAnsi="Liberation Sans" w:eastAsia="Liberation Sans" w:cs="Liberation Sans"/>
        <w:color w:val="687780"/>
        <w:sz w:val="17"/>
      </w:rPr>
      <w:t xml:space="preserve">  |  EF-SGP-002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suff w:val="tab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suff w:val="tab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  <w:rPr>
        <w:rFonts w:ascii="Liberation Sans" w:hAnsi="Liberation Sans" w:hint="default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ans" w:hAnsi="Liberation Sans" w:eastAsia="Liberation Sans" w:cs="Liberation Sans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D5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23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2E8B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23B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Liberation Sans" w:hAnsi="Liberation Sans" w:eastAsia="Liberation Sans" w:cs="Liberation Sans"/>
      <w:b w:val="0"/>
      <w:i/>
      <w:iCs/>
      <w:color w:val="6877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03 - Especificação Funcional - Baseline 2.0</dc:title>
  <dc:subject>Documentação do SGP</dc:subject>
  <dc:creator>Liliane Freitas</dc:creator>
  <cp:keywords>SGP, baseline, requisitos, rastreabilidade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