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MCN-SGP-002</w:t>
      </w:r>
    </w:p>
    <w:p>
      <w:pPr>
        <w:pStyle w:val="Title"/>
        <w:keepNext/>
      </w:pPr>
      <w:r>
        <w:t>Modelo Conceitual do Negócio</w:t>
      </w:r>
    </w:p>
    <w:p>
      <w:pPr>
        <w:pStyle w:val="Subtitle"/>
      </w:pPr>
      <w:r>
        <w:t>Entidades e relações que sustentam o modelo multiempresa do SGP.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MCN-SGP-002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Correção conceitual principal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2E8B74"/>
        </w:pBdr>
      </w:pPr>
      <w:r>
        <w:rPr>
          <w:rFonts w:ascii="Liberation Sans" w:hAnsi="Liberation Sans" w:eastAsia="Liberation Sans" w:cs="Liberation Sans"/>
          <w:b/>
          <w:color w:val="2E8B74"/>
        </w:rPr>
        <w:t xml:space="preserve">Relação vigente: </w:t>
      </w:r>
      <w:r>
        <w:rPr>
          <w:rFonts w:ascii="Liberation Sans" w:hAnsi="Liberation Sans" w:eastAsia="Liberation Sans" w:cs="Liberation Sans"/>
          <w:color w:val="24313A"/>
        </w:rPr>
        <w:t>Todo Projeto pertence obrigatoriamente a uma Organização e pode estar vinculado a um Cliente ou Demandante. Cliente e Organização não representam o mesmo conceito.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Entidades previstas para implementação nesta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00"/>
        <w:gridCol w:w="4060"/>
      </w:tblGrid>
      <w:tr>
        <w:trPr>
          <w:cantSplit/>
          <w:tblHeader w:val="true"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Relações principais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Organização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 SaaS, espaço de trabalho e titular lógico dos dados.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Possui vínculos, demandantes, projetos e configurações.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Vínculo Organizacional</w:t>
            </w:r>
          </w:p>
        </w:tc>
        <w:tc>
          <w:tcPr>
            <w:tcW w:type="dxa" w:w="3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Participação de um usuário em uma organização.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Define papel, situação e organização padrão.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Usuário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Conta global autenticada.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Pode possuir vários vínculos organizacionais.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 ou Demandante</w:t>
            </w:r>
          </w:p>
        </w:tc>
        <w:tc>
          <w:tcPr>
            <w:tcW w:type="dxa" w:w="3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Pessoa, empresa, órgão, setor ou unidade para quem o projeto é realizado.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Pertence a uma organização e pode ter vários projetos.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Projeto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Iniciativa de software gerenciada.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Pertence à organização; cliente é opcional; possui configuração adaptativa.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Configuração do Projeto</w:t>
            </w:r>
          </w:p>
        </w:tc>
        <w:tc>
          <w:tcPr>
            <w:tcW w:type="dxa" w:w="3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Natureza, finanças, nível de gestão e metodologia.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Controla recursos aplicáveis sem misturar as dimensões.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Registro de Auditoria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Evidência de ação relevante.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Relaciona organização, usuário, recurso, data e resultado.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Cardinalidades</w:t>
      </w:r>
    </w:p>
    <w:p>
      <w:pPr>
        <w:pStyle w:val="ListBullet"/>
      </w:pPr>
      <w:r>
        <w:t>Uma Organização possui muitos Vínculos Organizacionais.</w:t>
      </w:r>
    </w:p>
    <w:p>
      <w:pPr>
        <w:pStyle w:val="ListBullet"/>
      </w:pPr>
      <w:r>
        <w:t>Um Usuário possui zero ou muitos Vínculos Organizacionais.</w:t>
      </w:r>
    </w:p>
    <w:p>
      <w:pPr>
        <w:pStyle w:val="ListBullet"/>
      </w:pPr>
      <w:r>
        <w:t>Uma Organização possui muitos Clientes ou Demandantes.</w:t>
      </w:r>
    </w:p>
    <w:p>
      <w:pPr>
        <w:pStyle w:val="ListBullet"/>
      </w:pPr>
      <w:r>
        <w:t>Uma Organização possui muitos Projetos.</w:t>
      </w:r>
    </w:p>
    <w:p>
      <w:pPr>
        <w:pStyle w:val="ListBullet"/>
      </w:pPr>
      <w:r>
        <w:t>Um Cliente ou Demandante pode possuir muitos Projetos.</w:t>
      </w:r>
    </w:p>
    <w:p>
      <w:pPr>
        <w:pStyle w:val="ListBullet"/>
      </w:pPr>
      <w:r>
        <w:t>Um Projeto possui zero ou um Cliente ou Demandante.</w:t>
      </w:r>
    </w:p>
    <w:p>
      <w:pPr>
        <w:pStyle w:val="ListBullet"/>
      </w:pPr>
      <w:r>
        <w:t>Um Projeto possui exatamente uma combinação vigente de configuração adaptativa.</w:t>
      </w:r>
    </w:p>
    <w:p>
      <w:pPr>
        <w:pStyle w:val="ListBullet"/>
      </w:pPr>
      <w:r>
        <w:t>Todo dado de domínio do projeto pertence à mesma Organização do Projeto.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Entidades planejadas para RM-002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Entidade futura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Contrato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Registrar modalidade, vigência, capacidade, valores e condições.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Baseline</w:t>
            </w:r>
          </w:p>
        </w:tc>
        <w:tc>
          <w:tcPr>
            <w:tcW w:type="dxa" w:w="6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Congelar uma configuração aprovada de escopo e artefatos.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Item de Baseline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Relacionar requisito, documento, entrega ou configuração incluída.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Solicitação de Mudança</w:t>
            </w:r>
          </w:p>
        </w:tc>
        <w:tc>
          <w:tcPr>
            <w:tcW w:type="dxa" w:w="6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Registrar origem, tipo, situação e justificativa.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Análise de Impacto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Avaliar componentes, retrabalho, esforço, prazo, risco, custo e preço.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Aditivo ou Proposta</w:t>
            </w:r>
          </w:p>
        </w:tc>
        <w:tc>
          <w:tcPr>
            <w:tcW w:type="dxa" w:w="6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Relacionar mudanças aprovadas à revisão contratual.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Entidades planejadas para RM-003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Entidade futura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Sessão de Assistência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Contextualizar uma conversa autorizada dentro da organização e do projeto.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Sugestão de IA</w:t>
            </w:r>
          </w:p>
        </w:tc>
        <w:tc>
          <w:tcPr>
            <w:tcW w:type="dxa" w:w="6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Armazenar proposta, destino, estado e autoria.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Validação de Sugestão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Registrar aceite, edição, descarte, usuário e data.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Consumo de IA</w:t>
            </w:r>
          </w:p>
        </w:tc>
        <w:tc>
          <w:tcPr>
            <w:tcW w:type="dxa" w:w="6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Medir chamadas, tokens ou créditos por organização.</w:t>
            </w:r>
          </w:p>
        </w:tc>
      </w:tr>
    </w:tbl>
    <w:p>
      <w:pPr>
        <w:spacing w:before="0" w:after="40" w:line="240" w:lineRule="auto"/>
      </w:pPr>
    </w:p>
    <w:p>
      <w:pPr>
        <w:spacing w:before="120" w:after="180" w:line="276" w:lineRule="auto"/>
        <w:ind w:left="173" w:right="173"/>
        <w:shd w:fill="EEF4F5"/>
        <w:pBdr>
          <w:left w:val="single" w:sz="22" w:space="6" w:color="D89427"/>
        </w:pBdr>
      </w:pPr>
      <w:r>
        <w:rPr>
          <w:rFonts w:ascii="Liberation Sans" w:hAnsi="Liberation Sans" w:eastAsia="Liberation Sans" w:cs="Liberation Sans"/>
          <w:b/>
          <w:color w:val="D89427"/>
        </w:rPr>
        <w:t xml:space="preserve">Limite da BL-SGP-002: </w:t>
      </w:r>
      <w:r>
        <w:rPr>
          <w:rFonts w:ascii="Liberation Sans" w:hAnsi="Liberation Sans" w:eastAsia="Liberation Sans" w:cs="Liberation Sans"/>
          <w:color w:val="24313A"/>
        </w:rPr>
        <w:t>As entidades futuras são registradas para orientar a evolução, mas suas tabelas não serão criadas nesta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MCN-SGP-002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Modelo Conceitual do Negócio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