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PLAN-BL-SGP-002</w:t>
      </w:r>
    </w:p>
    <w:p>
      <w:pPr>
        <w:pStyle w:val="Title"/>
        <w:keepNext/>
      </w:pPr>
      <w:r>
        <w:t>Plano da Entrega BL-SGP-002</w:t>
      </w:r>
    </w:p>
    <w:p>
      <w:pPr>
        <w:pStyle w:val="Subtitle"/>
      </w:pPr>
      <w:r>
        <w:t>Escopo técnico congelado para a Fundação SaaS Multiempresa e a configuração adaptativa.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PLAN-BL-SGP-002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Objetivo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Transformar o SGP atual em uma base multiempresa segura, preservando dados e funcionalidades existentes e preparando o produto para comercialização futura.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Escopo incluído</w:t>
      </w:r>
    </w:p>
    <w:p>
      <w:pPr>
        <w:pStyle w:val="ListBullet"/>
      </w:pPr>
      <w:r>
        <w:t>Cadastro e manutenção de organizações.</w:t>
      </w:r>
    </w:p>
    <w:p>
      <w:pPr>
        <w:pStyle w:val="ListBullet"/>
      </w:pPr>
      <w:r>
        <w:t>Vínculos de usuários e papéis por organização.</w:t>
      </w:r>
    </w:p>
    <w:p>
      <w:pPr>
        <w:pStyle w:val="ListBullet"/>
      </w:pPr>
      <w:r>
        <w:t>Seleção de organização ativa.</w:t>
      </w:r>
    </w:p>
    <w:p>
      <w:pPr>
        <w:pStyle w:val="ListBullet"/>
      </w:pPr>
      <w:r>
        <w:t>Isolamento de dados, arquivos, documentos e exportações.</w:t>
      </w:r>
    </w:p>
    <w:p>
      <w:pPr>
        <w:pStyle w:val="ListBullet"/>
      </w:pPr>
      <w:r>
        <w:t>Separação entre organização e cliente ou demandante.</w:t>
      </w:r>
    </w:p>
    <w:p>
      <w:pPr>
        <w:pStyle w:val="ListBullet"/>
      </w:pPr>
      <w:r>
        <w:t>Migração segura dos registros existentes.</w:t>
      </w:r>
    </w:p>
    <w:p>
      <w:pPr>
        <w:pStyle w:val="ListBullet"/>
      </w:pPr>
      <w:r>
        <w:t>Natureza da execução e tratamento financeiro no projeto.</w:t>
      </w:r>
    </w:p>
    <w:p>
      <w:pPr>
        <w:pStyle w:val="ListBullet"/>
      </w:pPr>
      <w:r>
        <w:t>Preservação do nível de gestão e da metodologia.</w:t>
      </w:r>
    </w:p>
    <w:p>
      <w:pPr>
        <w:pStyle w:val="ListBullet"/>
      </w:pPr>
      <w:r>
        <w:t>Explicações visuais das opções e resumo da configuração.</w:t>
      </w:r>
    </w:p>
    <w:p>
      <w:pPr>
        <w:pStyle w:val="ListBullet"/>
      </w:pPr>
      <w:r>
        <w:t>Auditoria das mudanças estruturais.</w:t>
      </w:r>
    </w:p>
    <w:p>
      <w:pPr>
        <w:pStyle w:val="ListBullet"/>
      </w:pPr>
      <w:r>
        <w:t>Testes automatizados e homologação de isolamento.</w:t>
      </w:r>
    </w:p>
    <w:p>
      <w:pPr>
        <w:pStyle w:val="ListBullet"/>
      </w:pPr>
      <w:r>
        <w:t>Preparação técnica para planos e limites, sem cobrança.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Fora do escopo</w:t>
      </w:r>
    </w:p>
    <w:p>
      <w:pPr>
        <w:pStyle w:val="ListBullet"/>
      </w:pPr>
      <w:r>
        <w:t>Billing, assinatura, pagamentos e emissão fiscal.</w:t>
      </w:r>
    </w:p>
    <w:p>
      <w:pPr>
        <w:pStyle w:val="ListBullet"/>
      </w:pPr>
      <w:r>
        <w:t>Contratos, aditivos, baselines operacionais e solicitações de mudança completas.</w:t>
      </w:r>
    </w:p>
    <w:p>
      <w:pPr>
        <w:pStyle w:val="ListBullet"/>
      </w:pPr>
      <w:r>
        <w:t>Projeções financeiras e contratuais.</w:t>
      </w:r>
    </w:p>
    <w:p>
      <w:pPr>
        <w:pStyle w:val="ListBullet"/>
      </w:pPr>
      <w:r>
        <w:t>Integração com IA generativa.</w:t>
      </w:r>
    </w:p>
    <w:p>
      <w:pPr>
        <w:pStyle w:val="ListBullet"/>
      </w:pPr>
      <w:r>
        <w:t>Painel completo de maturidade MPS.BR.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Sequência de implementação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2100"/>
        <w:gridCol w:w="4250"/>
        <w:gridCol w:w="2310"/>
      </w:tblGrid>
      <w:tr>
        <w:trPr>
          <w:cantSplit/>
          <w:tblHeader w:val="true"/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Atividades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Inventário e segurança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Mapear tabelas, vínculos, arquivos, políticas e dados existentes.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Relatório pré-migração.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F2</w:t>
            </w:r>
          </w:p>
        </w:tc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Organizações</w:t>
            </w:r>
          </w:p>
        </w:tc>
        <w:tc>
          <w:tcPr>
            <w:tcW w:type="dxa" w:w="4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entidades, modelos, vínculos e organização inicial.</w:t>
            </w:r>
          </w:p>
        </w:tc>
        <w:tc>
          <w:tcPr>
            <w:tcW w:type="dxa" w:w="2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Fundação multiempresa.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Backfill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Adicionar organization_id anulável, preencher e reconciliar.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Dados legados associados.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F4</w:t>
            </w:r>
          </w:p>
        </w:tc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Restrições</w:t>
            </w:r>
          </w:p>
        </w:tc>
        <w:tc>
          <w:tcPr>
            <w:tcW w:type="dxa" w:w="4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FKs, índices, unicidades compostas e NOT NULL.</w:t>
            </w:r>
          </w:p>
        </w:tc>
        <w:tc>
          <w:tcPr>
            <w:tcW w:type="dxa" w:w="2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Integridade no banco.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Contexto e autorização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Middleware, escopos, policies e troca de organização.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Isolamento no servidor.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F6</w:t>
            </w:r>
          </w:p>
        </w:tc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Projetos adaptativos</w:t>
            </w:r>
          </w:p>
        </w:tc>
        <w:tc>
          <w:tcPr>
            <w:tcW w:type="dxa" w:w="4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Adicionar campos e interface explicativa.</w:t>
            </w:r>
          </w:p>
        </w:tc>
        <w:tc>
          <w:tcPr>
            <w:tcW w:type="dxa" w:w="2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Configuração independente.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Arquivos e auditoria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Segregar armazenamento, exportações e logs.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Fronteira completa.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F8</w:t>
            </w:r>
          </w:p>
        </w:tc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Testes e homologação</w:t>
            </w:r>
          </w:p>
        </w:tc>
        <w:tc>
          <w:tcPr>
            <w:tcW w:type="dxa" w:w="4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Executar isolamento, migração e regressão.</w:t>
            </w:r>
          </w:p>
        </w:tc>
        <w:tc>
          <w:tcPr>
            <w:tcW w:type="dxa" w:w="2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Release candidata aprovada.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Critérios de pronto</w:t>
      </w:r>
    </w:p>
    <w:p>
      <w:pPr>
        <w:pStyle w:val="ListBullet"/>
      </w:pPr>
      <w:r>
        <w:t>Código revisado e versionado.</w:t>
      </w:r>
    </w:p>
    <w:p>
      <w:pPr>
        <w:pStyle w:val="ListBullet"/>
      </w:pPr>
      <w:r>
        <w:t>Migrations reversíveis e executadas em homologação.</w:t>
      </w:r>
    </w:p>
    <w:p>
      <w:pPr>
        <w:pStyle w:val="ListBullet"/>
      </w:pPr>
      <w:r>
        <w:t>Contagens e órfãos reconciliados.</w:t>
      </w:r>
    </w:p>
    <w:p>
      <w:pPr>
        <w:pStyle w:val="ListBullet"/>
      </w:pPr>
      <w:r>
        <w:t>Casos críticos CT-TEN e CT-MIG aprovados.</w:t>
      </w:r>
    </w:p>
    <w:p>
      <w:pPr>
        <w:pStyle w:val="ListBullet"/>
      </w:pPr>
      <w:r>
        <w:t>Regressão dos fluxos atuais concluída.</w:t>
      </w:r>
    </w:p>
    <w:p>
      <w:pPr>
        <w:pStyle w:val="ListBullet"/>
      </w:pPr>
      <w:r>
        <w:t>Documentação física atualizada com o banco implementado.</w:t>
      </w:r>
    </w:p>
    <w:p>
      <w:pPr>
        <w:pStyle w:val="ListBullet"/>
      </w:pPr>
      <w:r>
        <w:t>Nenhum defeito crítico ou alto aberto.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Riscos de execução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00"/>
        <w:gridCol w:w="5660"/>
      </w:tblGrid>
      <w:tr>
        <w:trPr>
          <w:cantSplit/>
          <w:tblHeader w:val="true"/>
          <w:tblHeader w:val="true"/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Resposta</w:t>
            </w:r>
          </w:p>
        </w:tc>
      </w:tr>
      <w:tr>
        <w:trPr>
          <w:cantSplit/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Escopo crescer durante a implementação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Registrar nova RM e manter a BL-SGP-002 congelada.</w:t>
            </w:r>
          </w:p>
        </w:tc>
      </w:tr>
      <w:tr>
        <w:trPr>
          <w:cantSplit/>
          <w:cantSplit/>
        </w:trPr>
        <w:tc>
          <w:tcPr>
            <w:tcW w:type="dxa" w:w="3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atual possuir relações não mapeadas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Inventário antes das migrations e implementação incremental.</w:t>
            </w:r>
          </w:p>
        </w:tc>
      </w:tr>
      <w:tr>
        <w:trPr>
          <w:cantSplit/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organization_id ser aplicado apenas em algumas tabelas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Checklist de cobertura e teste automatizado por recurso.</w:t>
            </w:r>
          </w:p>
        </w:tc>
      </w:tr>
      <w:tr>
        <w:trPr>
          <w:cantSplit/>
          <w:cantSplit/>
        </w:trPr>
        <w:tc>
          <w:tcPr>
            <w:tcW w:type="dxa" w:w="3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Dados de teste não representarem o legado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Usar cópia controlada e consultas de reconciliação.</w:t>
            </w:r>
          </w:p>
        </w:tc>
      </w:tr>
      <w:tr>
        <w:trPr>
          <w:cantSplit/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Pressa para colocar online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liberar cliente externo antes do portão de isolamento.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PLAN-BL-SGP-002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05 - Plano da Entrega - BL-SGP-002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