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UC-SGP-002</w:t>
      </w:r>
    </w:p>
    <w:p>
      <w:pPr>
        <w:pStyle w:val="Title"/>
        <w:keepNext/>
      </w:pPr>
      <w:r>
        <w:t>Casos de Uso</w:t>
      </w:r>
    </w:p>
    <w:p>
      <w:pPr>
        <w:pStyle w:val="Subtitle"/>
      </w:pPr>
      <w:r>
        <w:t>Casos adicionais da BL-SGP-002, preservando UC001 a UC015 e mantendo UC016 reservado.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Herança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Os casos UC001 a UC015 permanecem válidos, com a condição adicional de que suas operações respeitem a organização ativa e autorizada. UC016 permanece reservado; a nova sequência inicia em UC017.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Catálogo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450"/>
        <w:gridCol w:w="2600"/>
        <w:gridCol w:w="3310"/>
      </w:tblGrid>
      <w:tr>
        <w:trPr>
          <w:cantSplit/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Ator principal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UC017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Cadastrar organização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Administrador de plataforma autorizado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espaço de trabalho e parâmetros iniciais.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UC018</w:t>
            </w:r>
          </w:p>
        </w:tc>
        <w:tc>
          <w:tcPr>
            <w:tcW w:type="dxa" w:w="24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Manter organização</w:t>
            </w:r>
          </w:p>
        </w:tc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Administrador autorizado</w:t>
            </w:r>
          </w:p>
        </w:tc>
        <w:tc>
          <w:tcPr>
            <w:tcW w:type="dxa" w:w="3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Editar, consultar, ativar ou suspender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UC019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Vincular usuário à organização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Administrador da organização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vínculo e papel organizacional.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UC020</w:t>
            </w:r>
          </w:p>
        </w:tc>
        <w:tc>
          <w:tcPr>
            <w:tcW w:type="dxa" w:w="24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Gerenciar membros e papéis</w:t>
            </w:r>
          </w:p>
        </w:tc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Administrador da organização</w:t>
            </w:r>
          </w:p>
        </w:tc>
        <w:tc>
          <w:tcPr>
            <w:tcW w:type="dxa" w:w="3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Consultar e alterar vínculos sem afetar outras organizações.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Selecionar organização ativa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com múltiplos vínculos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Trocar o contexto e recarregar permissões.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UC022</w:t>
            </w:r>
          </w:p>
        </w:tc>
        <w:tc>
          <w:tcPr>
            <w:tcW w:type="dxa" w:w="24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Cadastrar demandante</w:t>
            </w:r>
          </w:p>
        </w:tc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Gerente ou administrador</w:t>
            </w:r>
          </w:p>
        </w:tc>
        <w:tc>
          <w:tcPr>
            <w:tcW w:type="dxa" w:w="3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cliente dentro da organização ativa.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Cadastrar projeto multiempresa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Gerente de projeto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projeto na organização ativa com cliente opcional.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UC024</w:t>
            </w:r>
          </w:p>
        </w:tc>
        <w:tc>
          <w:tcPr>
            <w:tcW w:type="dxa" w:w="24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Configurar projeto</w:t>
            </w:r>
          </w:p>
        </w:tc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Gerente de projeto</w:t>
            </w:r>
          </w:p>
        </w:tc>
        <w:tc>
          <w:tcPr>
            <w:tcW w:type="dxa" w:w="3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Definir natureza, finanças, nível e metodologia.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Alterar nível de gestão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 autorizado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mudança sem apagar dados.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UC026</w:t>
            </w:r>
          </w:p>
        </w:tc>
        <w:tc>
          <w:tcPr>
            <w:tcW w:type="dxa" w:w="24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Migrar dados legados</w:t>
            </w:r>
          </w:p>
        </w:tc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Equipe técnica</w:t>
            </w:r>
          </w:p>
        </w:tc>
        <w:tc>
          <w:tcPr>
            <w:tcW w:type="dxa" w:w="3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Associar dados à organização inicial e reconciliar.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Consultar auditoria organizacional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Perfil autorizado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Consultar eventos somente do tenant permitido.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UC028</w:t>
            </w:r>
          </w:p>
        </w:tc>
        <w:tc>
          <w:tcPr>
            <w:tcW w:type="dxa" w:w="24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Gerar ou baixar arquivo isolado</w:t>
            </w:r>
          </w:p>
        </w:tc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Usuário autorizado</w:t>
            </w:r>
          </w:p>
        </w:tc>
        <w:tc>
          <w:tcPr>
            <w:tcW w:type="dxa" w:w="33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Produzir e acessar arquivo somente no contexto correto.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Fluxos críticos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23B4A"/>
          <w:sz w:val="26"/>
        </w:rPr>
        <w:t>3.1 UC021 - Selecionar organização ativa</w:t>
      </w:r>
    </w:p>
    <w:p>
      <w:pPr>
        <w:pStyle w:val="ListNumber"/>
        <w:numPr>
          <w:ilvl w:val="0"/>
          <w:numId w:val="10"/>
        </w:numPr>
      </w:pPr>
      <w:r>
        <w:t>O usuário consulta as organizações às quais possui vínculo ativo.</w:t>
      </w:r>
    </w:p>
    <w:p>
      <w:pPr>
        <w:pStyle w:val="ListNumber"/>
        <w:numPr>
          <w:ilvl w:val="0"/>
          <w:numId w:val="10"/>
        </w:numPr>
      </w:pPr>
      <w:r>
        <w:t>Seleciona uma organização.</w:t>
      </w:r>
    </w:p>
    <w:p>
      <w:pPr>
        <w:pStyle w:val="ListNumber"/>
        <w:numPr>
          <w:ilvl w:val="0"/>
          <w:numId w:val="10"/>
        </w:numPr>
      </w:pPr>
      <w:r>
        <w:t>O sistema valida novamente o vínculo e o papel.</w:t>
      </w:r>
    </w:p>
    <w:p>
      <w:pPr>
        <w:pStyle w:val="ListNumber"/>
        <w:numPr>
          <w:ilvl w:val="0"/>
          <w:numId w:val="10"/>
        </w:numPr>
      </w:pPr>
      <w:r>
        <w:t>O contexto da sessão é atualizado.</w:t>
      </w:r>
    </w:p>
    <w:p>
      <w:pPr>
        <w:pStyle w:val="ListNumber"/>
        <w:numPr>
          <w:ilvl w:val="0"/>
          <w:numId w:val="10"/>
        </w:numPr>
      </w:pPr>
      <w:r>
        <w:t>Consultas, menus, permissões e dados carregados passam a usar a nova organização.</w:t>
      </w:r>
    </w:p>
    <w:p>
      <w:pPr>
        <w:pStyle w:val="ListNumber"/>
        <w:numPr>
          <w:ilvl w:val="0"/>
          <w:numId w:val="10"/>
        </w:numPr>
      </w:pPr>
      <w:r>
        <w:t>Se o vínculo não existir ou estiver inativo, a troca é rejeitada e auditada.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23B4A"/>
          <w:sz w:val="26"/>
        </w:rPr>
        <w:t>3.2 UC023 - Cadastrar projeto multiempresa</w:t>
      </w:r>
    </w:p>
    <w:p>
      <w:pPr>
        <w:pStyle w:val="ListNumber"/>
        <w:numPr>
          <w:ilvl w:val="0"/>
          <w:numId w:val="11"/>
        </w:numPr>
      </w:pPr>
      <w:r>
        <w:t>O gerente acessa Projetos dentro da organização ativa.</w:t>
      </w:r>
    </w:p>
    <w:p>
      <w:pPr>
        <w:pStyle w:val="ListNumber"/>
        <w:numPr>
          <w:ilvl w:val="0"/>
          <w:numId w:val="11"/>
        </w:numPr>
      </w:pPr>
      <w:r>
        <w:t>O sistema oferece somente clientes ou demandantes da mesma organização.</w:t>
      </w:r>
    </w:p>
    <w:p>
      <w:pPr>
        <w:pStyle w:val="ListNumber"/>
        <w:numPr>
          <w:ilvl w:val="0"/>
          <w:numId w:val="11"/>
        </w:numPr>
      </w:pPr>
      <w:r>
        <w:t>O gerente pode deixar o demandante sem preenchimento.</w:t>
      </w:r>
    </w:p>
    <w:p>
      <w:pPr>
        <w:pStyle w:val="ListNumber"/>
        <w:numPr>
          <w:ilvl w:val="0"/>
          <w:numId w:val="11"/>
        </w:numPr>
      </w:pPr>
      <w:r>
        <w:t>Informa natureza, tratamento financeiro, nível de gestão e metodologia.</w:t>
      </w:r>
    </w:p>
    <w:p>
      <w:pPr>
        <w:pStyle w:val="ListNumber"/>
        <w:numPr>
          <w:ilvl w:val="0"/>
          <w:numId w:val="11"/>
        </w:numPr>
      </w:pPr>
      <w:r>
        <w:t>O servidor ignora qualquer organization_id livre do formulário e utiliza o contexto autorizado.</w:t>
      </w:r>
    </w:p>
    <w:p>
      <w:pPr>
        <w:pStyle w:val="ListNumber"/>
        <w:numPr>
          <w:ilvl w:val="0"/>
          <w:numId w:val="11"/>
        </w:numPr>
      </w:pPr>
      <w:r>
        <w:t>O projeto é criado com auditoria e configuração inicial.</w:t>
      </w:r>
    </w:p>
    <w:p>
      <w:pPr>
        <w:pStyle w:val="Heading2"/>
      </w:pPr>
      <w:r>
        <w:rPr>
          <w:rFonts w:ascii="Liberation Sans" w:hAnsi="Liberation Sans" w:eastAsia="Liberation Sans" w:cs="Liberation Sans"/>
          <w:b/>
          <w:color w:val="123B4A"/>
          <w:sz w:val="26"/>
        </w:rPr>
        <w:t>3.3 UC026 - Migrar dados legados</w:t>
      </w:r>
    </w:p>
    <w:p>
      <w:pPr>
        <w:pStyle w:val="ListNumber"/>
        <w:numPr>
          <w:ilvl w:val="0"/>
          <w:numId w:val="12"/>
        </w:numPr>
      </w:pPr>
      <w:r>
        <w:t>A equipe gera backup e relatório de contagens.</w:t>
      </w:r>
    </w:p>
    <w:p>
      <w:pPr>
        <w:pStyle w:val="ListNumber"/>
        <w:numPr>
          <w:ilvl w:val="0"/>
          <w:numId w:val="12"/>
        </w:numPr>
      </w:pPr>
      <w:r>
        <w:t>Cria a organização inicial e os vínculos dos usuários existentes.</w:t>
      </w:r>
    </w:p>
    <w:p>
      <w:pPr>
        <w:pStyle w:val="ListNumber"/>
        <w:numPr>
          <w:ilvl w:val="0"/>
          <w:numId w:val="12"/>
        </w:numPr>
      </w:pPr>
      <w:r>
        <w:t>Adiciona organization_id como anulável.</w:t>
      </w:r>
    </w:p>
    <w:p>
      <w:pPr>
        <w:pStyle w:val="ListNumber"/>
        <w:numPr>
          <w:ilvl w:val="0"/>
          <w:numId w:val="12"/>
        </w:numPr>
      </w:pPr>
      <w:r>
        <w:t>Preenche os registros em ordem de dependência.</w:t>
      </w:r>
    </w:p>
    <w:p>
      <w:pPr>
        <w:pStyle w:val="ListNumber"/>
        <w:numPr>
          <w:ilvl w:val="0"/>
          <w:numId w:val="12"/>
        </w:numPr>
      </w:pPr>
      <w:r>
        <w:t>Executa consultas de órfãos e reconciliação.</w:t>
      </w:r>
    </w:p>
    <w:p>
      <w:pPr>
        <w:pStyle w:val="ListNumber"/>
        <w:numPr>
          <w:ilvl w:val="0"/>
          <w:numId w:val="12"/>
        </w:numPr>
      </w:pPr>
      <w:r>
        <w:t>Somente após aprovação aplica obrigatoriedade e restrições.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Exceções comuns</w:t>
      </w:r>
    </w:p>
    <w:p>
      <w:pPr>
        <w:pStyle w:val="ListBullet"/>
      </w:pPr>
      <w:r>
        <w:t>Usuário sem vínculo: negar acesso sem revelar a existência do registro.</w:t>
      </w:r>
    </w:p>
    <w:p>
      <w:pPr>
        <w:pStyle w:val="ListBullet"/>
      </w:pPr>
      <w:r>
        <w:t>Relacionamento cruzado: rejeitar a operação e registrar tentativa relevante.</w:t>
      </w:r>
    </w:p>
    <w:p>
      <w:pPr>
        <w:pStyle w:val="ListBullet"/>
      </w:pPr>
      <w:r>
        <w:t>Organização suspensa: bloquear uso operacional e preservar consulta administrativa autorizada.</w:t>
      </w:r>
    </w:p>
    <w:p>
      <w:pPr>
        <w:pStyle w:val="ListBullet"/>
      </w:pPr>
      <w:r>
        <w:t>Projeto sem demandante: aceitar quando os demais campos obrigatórios estiverem válidos.</w:t>
      </w:r>
    </w:p>
    <w:p>
      <w:pPr>
        <w:pStyle w:val="ListBullet"/>
      </w:pPr>
      <w:r>
        <w:t>Alteração para nível inferior: preservar artefatos existentes.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UC-SGP-002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06 - Casos de Uso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