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4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530352" cy="5303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sgp-logo-108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" cy="530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Liberation Sans" w:hAnsi="Liberation Sans" w:eastAsia="Liberation Sans" w:cs="Liberation Sans"/>
          <w:b/>
          <w:color w:val="123B4A"/>
          <w:sz w:val="36"/>
        </w:rPr>
        <w:t xml:space="preserve">  SGP</w:t>
      </w:r>
    </w:p>
    <w:p>
      <w:pPr>
        <w:spacing w:before="280" w:after="120" w:line="240" w:lineRule="auto"/>
      </w:pPr>
      <w:r>
        <w:rPr>
          <w:rFonts w:ascii="Liberation Sans" w:hAnsi="Liberation Sans" w:eastAsia="Liberation Sans" w:cs="Liberation Sans"/>
          <w:b/>
          <w:color w:val="2E8B74"/>
          <w:sz w:val="19"/>
        </w:rPr>
        <w:t>RF-SGP-002</w:t>
      </w:r>
    </w:p>
    <w:p>
      <w:pPr>
        <w:pStyle w:val="Title"/>
        <w:keepNext/>
      </w:pPr>
      <w:r>
        <w:t>Requisitos Funcionais</w:t>
      </w:r>
    </w:p>
    <w:p>
      <w:pPr>
        <w:pStyle w:val="Subtitle"/>
      </w:pPr>
      <w:r>
        <w:t>Catálogo evolutivo RF061 a RF116, preservando RF001 a RF060.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cantSplit/>
          <w:tblHeader w:val="true"/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Informação</w:t>
            </w:r>
          </w:p>
        </w:tc>
      </w:tr>
      <w:tr>
        <w:trPr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Sistema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Sistema de Gestão de Projetos de Software (SGP)</w:t>
            </w:r>
          </w:p>
        </w:tc>
      </w:tr>
      <w:tr>
        <w:trPr>
          <w:cantSplit/>
          <w:cantSplit/>
        </w:trPr>
        <w:tc>
          <w:tcPr>
            <w:tcW w:type="dxa" w:w="22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Identificador</w:t>
            </w:r>
          </w:p>
        </w:tc>
        <w:tc>
          <w:tcPr>
            <w:tcW w:type="dxa" w:w="71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RF-SGP-002</w:t>
            </w:r>
          </w:p>
        </w:tc>
      </w:tr>
      <w:tr>
        <w:trPr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Versão do documento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2.1</w:t>
            </w:r>
          </w:p>
        </w:tc>
      </w:tr>
      <w:tr>
        <w:trPr>
          <w:cantSplit/>
          <w:cantSplit/>
        </w:trPr>
        <w:tc>
          <w:tcPr>
            <w:tcW w:type="dxa" w:w="22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Situação</w:t>
            </w:r>
          </w:p>
        </w:tc>
        <w:tc>
          <w:tcPr>
            <w:tcW w:type="dxa" w:w="71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Revisado e aprovado para implementação</w:t>
            </w:r>
          </w:p>
        </w:tc>
      </w:tr>
      <w:tr>
        <w:trPr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Data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27/07/2026</w:t>
            </w:r>
          </w:p>
        </w:tc>
      </w:tr>
      <w:tr>
        <w:trPr>
          <w:cantSplit/>
          <w:cantSplit/>
        </w:trPr>
        <w:tc>
          <w:tcPr>
            <w:tcW w:type="dxa" w:w="22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Responsável</w:t>
            </w:r>
          </w:p>
        </w:tc>
        <w:tc>
          <w:tcPr>
            <w:tcW w:type="dxa" w:w="71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Liliane Freitas</w:t>
            </w:r>
          </w:p>
        </w:tc>
      </w:tr>
    </w:tbl>
    <w:p>
      <w:pPr>
        <w:spacing w:before="0" w:after="40" w:line="240" w:lineRule="auto"/>
      </w:pPr>
    </w:p>
    <w:p>
      <w:r/>
    </w:p>
    <w:p>
      <w:pPr>
        <w:spacing w:before="200" w:after="0" w:line="288" w:lineRule="auto"/>
      </w:pPr>
      <w:r>
        <w:rPr>
          <w:rFonts w:ascii="Liberation Sans" w:hAnsi="Liberation Sans" w:eastAsia="Liberation Sans" w:cs="Liberation Sans"/>
          <w:i/>
          <w:color w:val="687780"/>
          <w:sz w:val="20"/>
        </w:rPr>
        <w:t>Estrutura conectada. Projetos organizados, decisões rastreáveis e software em evolução.</w:t>
      </w:r>
    </w:p>
    <w:p>
      <w:r>
        <w:br w:type="page"/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1. Regra de numeração</w:t>
      </w:r>
    </w:p>
    <w:p>
      <w:pPr>
        <w:spacing w:before="0" w:after="120" w:line="276" w:lineRule="auto"/>
      </w:pPr>
      <w:r>
        <w:rPr>
          <w:rFonts w:ascii="Liberation Sans" w:hAnsi="Liberation Sans" w:eastAsia="Liberation Sans" w:cs="Liberation Sans"/>
          <w:i w:val="0"/>
          <w:color w:val="24313A"/>
        </w:rPr>
        <w:t>Os requisitos RF001 a RF060 permanecem congelados na BL-SGP-001. Os novos requisitos seguem a sequência sem reaproveitamento ou renumeração.</w:t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2. RM-001 e configuração adaptativa - incluídos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000"/>
        <w:gridCol w:w="2850"/>
        <w:gridCol w:w="5510"/>
      </w:tblGrid>
      <w:tr>
        <w:trPr>
          <w:cantSplit/>
          <w:tblHeader w:val="true"/>
          <w:tblHeader w:val="true"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ID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Título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Descrição</w:t>
            </w:r>
          </w:p>
        </w:tc>
      </w:tr>
      <w:tr>
        <w:trPr>
          <w:cantSplit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RF061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Cadastrar organização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Permitir ao Administrador da Plataforma criar o espaço de trabalho e seu vínculo inicial de Proprietário.</w:t>
            </w:r>
          </w:p>
        </w:tc>
      </w:tr>
      <w:tr>
        <w:trPr>
          <w:cantSplit/>
          <w:cantSplit/>
        </w:trPr>
        <w:tc>
          <w:tcPr>
            <w:tcW w:type="dxa" w:w="10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RF062</w:t>
            </w:r>
          </w:p>
        </w:tc>
        <w:tc>
          <w:tcPr>
            <w:tcW w:type="dxa" w:w="285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Editar organização</w:t>
            </w:r>
          </w:p>
        </w:tc>
        <w:tc>
          <w:tcPr>
            <w:tcW w:type="dxa" w:w="551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Permitir alterar dados e configurações da organização.</w:t>
            </w:r>
          </w:p>
        </w:tc>
      </w:tr>
      <w:tr>
        <w:trPr>
          <w:cantSplit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RF063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Consultar organizações autorizadas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Listar somente organizações às quais o usuário possui vínculo.</w:t>
            </w:r>
          </w:p>
        </w:tc>
      </w:tr>
      <w:tr>
        <w:trPr>
          <w:cantSplit/>
          <w:cantSplit/>
        </w:trPr>
        <w:tc>
          <w:tcPr>
            <w:tcW w:type="dxa" w:w="10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RF064</w:t>
            </w:r>
          </w:p>
        </w:tc>
        <w:tc>
          <w:tcPr>
            <w:tcW w:type="dxa" w:w="285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Ativar ou suspender organização</w:t>
            </w:r>
          </w:p>
        </w:tc>
        <w:tc>
          <w:tcPr>
            <w:tcW w:type="dxa" w:w="551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Suspender acesso sem eliminar dados ou histórico.</w:t>
            </w:r>
          </w:p>
        </w:tc>
      </w:tr>
      <w:tr>
        <w:trPr>
          <w:cantSplit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RF065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Vincular usuário à organização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Criar vínculo organizacional entre conta e organização.</w:t>
            </w:r>
          </w:p>
        </w:tc>
      </w:tr>
      <w:tr>
        <w:trPr>
          <w:cantSplit/>
          <w:cantSplit/>
        </w:trPr>
        <w:tc>
          <w:tcPr>
            <w:tcW w:type="dxa" w:w="10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RF066</w:t>
            </w:r>
          </w:p>
        </w:tc>
        <w:tc>
          <w:tcPr>
            <w:tcW w:type="dxa" w:w="285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Definir papel por organização</w:t>
            </w:r>
          </w:p>
        </w:tc>
        <w:tc>
          <w:tcPr>
            <w:tcW w:type="dxa" w:w="551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Atribuir permissões independentes em cada vínculo.</w:t>
            </w:r>
          </w:p>
        </w:tc>
      </w:tr>
      <w:tr>
        <w:trPr>
          <w:cantSplit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RF067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Selecionar organização ativa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Definir o contexto de trabalho da sessão.</w:t>
            </w:r>
          </w:p>
        </w:tc>
      </w:tr>
      <w:tr>
        <w:trPr>
          <w:cantSplit/>
          <w:cantSplit/>
        </w:trPr>
        <w:tc>
          <w:tcPr>
            <w:tcW w:type="dxa" w:w="10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RF068</w:t>
            </w:r>
          </w:p>
        </w:tc>
        <w:tc>
          <w:tcPr>
            <w:tcW w:type="dxa" w:w="285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Isolar consultas por organização</w:t>
            </w:r>
          </w:p>
        </w:tc>
        <w:tc>
          <w:tcPr>
            <w:tcW w:type="dxa" w:w="551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Aplicar o contexto organizacional a todas as consultas de dados de negócio.</w:t>
            </w:r>
          </w:p>
        </w:tc>
      </w:tr>
      <w:tr>
        <w:trPr>
          <w:cantSplit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RF069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Isolar gravações por organização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Gravar organization_id de forma controlada e não manipulável pelo usuário.</w:t>
            </w:r>
          </w:p>
        </w:tc>
      </w:tr>
      <w:tr>
        <w:trPr>
          <w:cantSplit/>
          <w:cantSplit/>
        </w:trPr>
        <w:tc>
          <w:tcPr>
            <w:tcW w:type="dxa" w:w="10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RF070</w:t>
            </w:r>
          </w:p>
        </w:tc>
        <w:tc>
          <w:tcPr>
            <w:tcW w:type="dxa" w:w="285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Gerenciar demandantes da organização</w:t>
            </w:r>
          </w:p>
        </w:tc>
        <w:tc>
          <w:tcPr>
            <w:tcW w:type="dxa" w:w="551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Cadastrar clientes, setores, órgãos e unidades dentro da organização.</w:t>
            </w:r>
          </w:p>
        </w:tc>
      </w:tr>
      <w:tr>
        <w:trPr>
          <w:cantSplit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RF071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Migrar dados legados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Associar registros existentes à organização inicial com validação de integridade.</w:t>
            </w:r>
          </w:p>
        </w:tc>
      </w:tr>
      <w:tr>
        <w:trPr>
          <w:cantSplit/>
          <w:cantSplit/>
        </w:trPr>
        <w:tc>
          <w:tcPr>
            <w:tcW w:type="dxa" w:w="10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RF072</w:t>
            </w:r>
          </w:p>
        </w:tc>
        <w:tc>
          <w:tcPr>
            <w:tcW w:type="dxa" w:w="285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Isolar arquivos e documentos</w:t>
            </w:r>
          </w:p>
        </w:tc>
        <w:tc>
          <w:tcPr>
            <w:tcW w:type="dxa" w:w="551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Separar caminhos, permissões e exportações por organização.</w:t>
            </w:r>
          </w:p>
        </w:tc>
      </w:tr>
      <w:tr>
        <w:trPr>
          <w:cantSplit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RF073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Auditar alterações organizacionais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Registrar ator, data, organização e ação executada.</w:t>
            </w:r>
          </w:p>
        </w:tc>
      </w:tr>
      <w:tr>
        <w:trPr>
          <w:cantSplit/>
          <w:cantSplit/>
        </w:trPr>
        <w:tc>
          <w:tcPr>
            <w:tcW w:type="dxa" w:w="10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RF074</w:t>
            </w:r>
          </w:p>
        </w:tc>
        <w:tc>
          <w:tcPr>
            <w:tcW w:type="dxa" w:w="285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Bloquear vínculos entre organizações</w:t>
            </w:r>
          </w:p>
        </w:tc>
        <w:tc>
          <w:tcPr>
            <w:tcW w:type="dxa" w:w="551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Impedir relacionamentos com chaves pertencentes a outra organização.</w:t>
            </w:r>
          </w:p>
        </w:tc>
      </w:tr>
      <w:tr>
        <w:trPr>
          <w:cantSplit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RF075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Aplicar unicidade por organização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Permitir códigos iguais entre organizações sem colisão.</w:t>
            </w:r>
          </w:p>
        </w:tc>
      </w:tr>
      <w:tr>
        <w:trPr>
          <w:cantSplit/>
          <w:cantSplit/>
        </w:trPr>
        <w:tc>
          <w:tcPr>
            <w:tcW w:type="dxa" w:w="10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RF076</w:t>
            </w:r>
          </w:p>
        </w:tc>
        <w:tc>
          <w:tcPr>
            <w:tcW w:type="dxa" w:w="285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Preservar conta global do usuário</w:t>
            </w:r>
          </w:p>
        </w:tc>
        <w:tc>
          <w:tcPr>
            <w:tcW w:type="dxa" w:w="551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Permitir que uma conta participe de mais de uma organização.</w:t>
            </w:r>
          </w:p>
        </w:tc>
      </w:tr>
      <w:tr>
        <w:trPr>
          <w:cantSplit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RF077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Trocar de organização com segurança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Atualizar o contexto sem reutilizar dados ou permissões da organização anterior.</w:t>
            </w:r>
          </w:p>
        </w:tc>
      </w:tr>
      <w:tr>
        <w:trPr>
          <w:cantSplit/>
          <w:cantSplit/>
        </w:trPr>
        <w:tc>
          <w:tcPr>
            <w:tcW w:type="dxa" w:w="10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RF078</w:t>
            </w:r>
          </w:p>
        </w:tc>
        <w:tc>
          <w:tcPr>
            <w:tcW w:type="dxa" w:w="285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Consultar membros da organização</w:t>
            </w:r>
          </w:p>
        </w:tc>
        <w:tc>
          <w:tcPr>
            <w:tcW w:type="dxa" w:w="551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Listar vínculos, papéis, situação e data de ingresso.</w:t>
            </w:r>
          </w:p>
        </w:tc>
      </w:tr>
      <w:tr>
        <w:trPr>
          <w:cantSplit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RF079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Configurar preferências da organização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Manter parâmetros próprios sem interferir em outros clientes SaaS.</w:t>
            </w:r>
          </w:p>
        </w:tc>
      </w:tr>
      <w:tr>
        <w:trPr>
          <w:cantSplit/>
          <w:cantSplit/>
        </w:trPr>
        <w:tc>
          <w:tcPr>
            <w:tcW w:type="dxa" w:w="10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RF080</w:t>
            </w:r>
          </w:p>
        </w:tc>
        <w:tc>
          <w:tcPr>
            <w:tcW w:type="dxa" w:w="285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Preparar limites comerciais</w:t>
            </w:r>
          </w:p>
        </w:tc>
        <w:tc>
          <w:tcPr>
            <w:tcW w:type="dxa" w:w="551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Permitir futura aplicação de plano, cotas e recursos, sem cobrança nesta entrega.</w:t>
            </w:r>
          </w:p>
        </w:tc>
      </w:tr>
      <w:tr>
        <w:trPr>
          <w:cantSplit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RF081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Definir natureza da execução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Classificar o projeto como interno, contratado ou misto.</w:t>
            </w:r>
          </w:p>
        </w:tc>
      </w:tr>
      <w:tr>
        <w:trPr>
          <w:cantSplit/>
          <w:cantSplit/>
        </w:trPr>
        <w:tc>
          <w:tcPr>
            <w:tcW w:type="dxa" w:w="10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RF082</w:t>
            </w:r>
          </w:p>
        </w:tc>
        <w:tc>
          <w:tcPr>
            <w:tcW w:type="dxa" w:w="285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Definir tratamento financeiro</w:t>
            </w:r>
          </w:p>
        </w:tc>
        <w:tc>
          <w:tcPr>
            <w:tcW w:type="dxa" w:w="551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Classificar como não aplicável, custo interno, valor fixo, mensalidade, banco de horas, hora técnica ou híbrido.</w:t>
            </w:r>
          </w:p>
        </w:tc>
      </w:tr>
      <w:tr>
        <w:trPr>
          <w:cantSplit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RF083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Manter dimensões independentes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Separar natureza, tratamento financeiro, nível de gestão e metodologia.</w:t>
            </w:r>
          </w:p>
        </w:tc>
      </w:tr>
      <w:tr>
        <w:trPr>
          <w:cantSplit/>
          <w:cantSplit/>
        </w:trPr>
        <w:tc>
          <w:tcPr>
            <w:tcW w:type="dxa" w:w="10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RF084</w:t>
            </w:r>
          </w:p>
        </w:tc>
        <w:tc>
          <w:tcPr>
            <w:tcW w:type="dxa" w:w="285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Alterar nível sem perda de dados</w:t>
            </w:r>
          </w:p>
        </w:tc>
        <w:tc>
          <w:tcPr>
            <w:tcW w:type="dxa" w:w="551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Preservar informações e registrar data, responsável e efeitos da alteração.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3. RM-002 - visão aprovada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000"/>
        <w:gridCol w:w="5200"/>
        <w:gridCol w:w="3160"/>
      </w:tblGrid>
      <w:tr>
        <w:trPr>
          <w:cantSplit/>
          <w:tblHeader w:val="true"/>
          <w:tblHeader w:val="true"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ID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Tratamento</w:t>
            </w:r>
          </w:p>
        </w:tc>
      </w:tr>
      <w:tr>
        <w:trPr>
          <w:cantSplit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RF085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Explicar ao usuário o significado e o efeito esperado de natureza, tratamento financeiro, nível de gestão e metodologia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Incluído</w:t>
            </w:r>
          </w:p>
        </w:tc>
      </w:tr>
      <w:tr>
        <w:trPr>
          <w:cantSplit/>
          <w:cantSplit/>
        </w:trPr>
        <w:tc>
          <w:tcPr>
            <w:tcW w:type="dxa" w:w="10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RF086</w:t>
            </w:r>
          </w:p>
        </w:tc>
        <w:tc>
          <w:tcPr>
            <w:tcW w:type="dxa" w:w="52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Permitir projetos sem controle monetário</w:t>
            </w:r>
          </w:p>
        </w:tc>
        <w:tc>
          <w:tcPr>
            <w:tcW w:type="dxa" w:w="31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Incluído</w:t>
            </w:r>
          </w:p>
        </w:tc>
      </w:tr>
      <w:tr>
        <w:trPr>
          <w:cantSplit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RF087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Registrar contrato e período de vigência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Futuro após a BL-SGP-002</w:t>
            </w:r>
          </w:p>
        </w:tc>
      </w:tr>
      <w:tr>
        <w:trPr>
          <w:cantSplit/>
          <w:cantSplit/>
        </w:trPr>
        <w:tc>
          <w:tcPr>
            <w:tcW w:type="dxa" w:w="10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RF088</w:t>
            </w:r>
          </w:p>
        </w:tc>
        <w:tc>
          <w:tcPr>
            <w:tcW w:type="dxa" w:w="52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Vincular contrato e baseline</w:t>
            </w:r>
          </w:p>
        </w:tc>
        <w:tc>
          <w:tcPr>
            <w:tcW w:type="dxa" w:w="31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Futuro após a BL-SGP-002</w:t>
            </w:r>
          </w:p>
        </w:tc>
      </w:tr>
      <w:tr>
        <w:trPr>
          <w:cantSplit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RF089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Registrar valores, capacidade e unidades contratadas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Futuro após a BL-SGP-002</w:t>
            </w:r>
          </w:p>
        </w:tc>
      </w:tr>
      <w:tr>
        <w:trPr>
          <w:cantSplit/>
          <w:cantSplit/>
        </w:trPr>
        <w:tc>
          <w:tcPr>
            <w:tcW w:type="dxa" w:w="10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RF090</w:t>
            </w:r>
          </w:p>
        </w:tc>
        <w:tc>
          <w:tcPr>
            <w:tcW w:type="dxa" w:w="52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Registrar solicitação de mudança</w:t>
            </w:r>
          </w:p>
        </w:tc>
        <w:tc>
          <w:tcPr>
            <w:tcW w:type="dxa" w:w="31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Futuro após a BL-SGP-002</w:t>
            </w:r>
          </w:p>
        </w:tc>
      </w:tr>
      <w:tr>
        <w:trPr>
          <w:cantSplit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RF091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Elaborar análise de impacto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Futuro após a BL-SGP-002</w:t>
            </w:r>
          </w:p>
        </w:tc>
      </w:tr>
      <w:tr>
        <w:trPr>
          <w:cantSplit/>
          <w:cantSplit/>
        </w:trPr>
        <w:tc>
          <w:tcPr>
            <w:tcW w:type="dxa" w:w="10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RF092</w:t>
            </w:r>
          </w:p>
        </w:tc>
        <w:tc>
          <w:tcPr>
            <w:tcW w:type="dxa" w:w="52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Classificar o tratamento financeiro da mudança</w:t>
            </w:r>
          </w:p>
        </w:tc>
        <w:tc>
          <w:tcPr>
            <w:tcW w:type="dxa" w:w="31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Futuro após a BL-SGP-002</w:t>
            </w:r>
          </w:p>
        </w:tc>
      </w:tr>
      <w:tr>
        <w:trPr>
          <w:cantSplit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RF093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Estimar esforço, prazo, custo e preço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Futuro após a BL-SGP-002</w:t>
            </w:r>
          </w:p>
        </w:tc>
      </w:tr>
      <w:tr>
        <w:trPr>
          <w:cantSplit/>
          <w:cantSplit/>
        </w:trPr>
        <w:tc>
          <w:tcPr>
            <w:tcW w:type="dxa" w:w="10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RF094</w:t>
            </w:r>
          </w:p>
        </w:tc>
        <w:tc>
          <w:tcPr>
            <w:tcW w:type="dxa" w:w="52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Criar proposta de nova baseline</w:t>
            </w:r>
          </w:p>
        </w:tc>
        <w:tc>
          <w:tcPr>
            <w:tcW w:type="dxa" w:w="31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Futuro após a BL-SGP-002</w:t>
            </w:r>
          </w:p>
        </w:tc>
      </w:tr>
      <w:tr>
        <w:trPr>
          <w:cantSplit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RF095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Comparar baselines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Futuro após a BL-SGP-002</w:t>
            </w:r>
          </w:p>
        </w:tc>
      </w:tr>
      <w:tr>
        <w:trPr>
          <w:cantSplit/>
          <w:cantSplit/>
        </w:trPr>
        <w:tc>
          <w:tcPr>
            <w:tcW w:type="dxa" w:w="10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RF096</w:t>
            </w:r>
          </w:p>
        </w:tc>
        <w:tc>
          <w:tcPr>
            <w:tcW w:type="dxa" w:w="52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Projetar esgotamento de prazo e capacidade</w:t>
            </w:r>
          </w:p>
        </w:tc>
        <w:tc>
          <w:tcPr>
            <w:tcW w:type="dxa" w:w="31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Futuro após a BL-SGP-002</w:t>
            </w:r>
          </w:p>
        </w:tc>
      </w:tr>
      <w:tr>
        <w:trPr>
          <w:cantSplit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RF097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Registrar proposta, aditivo e aprovação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Futuro após a BL-SGP-002</w:t>
            </w:r>
          </w:p>
        </w:tc>
      </w:tr>
      <w:tr>
        <w:trPr>
          <w:cantSplit/>
          <w:cantSplit/>
        </w:trPr>
        <w:tc>
          <w:tcPr>
            <w:tcW w:type="dxa" w:w="10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RF098</w:t>
            </w:r>
          </w:p>
        </w:tc>
        <w:tc>
          <w:tcPr>
            <w:tcW w:type="dxa" w:w="52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Gerar documentação comprobatória</w:t>
            </w:r>
          </w:p>
        </w:tc>
        <w:tc>
          <w:tcPr>
            <w:tcW w:type="dxa" w:w="31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Futuro após a BL-SGP-002</w:t>
            </w:r>
          </w:p>
        </w:tc>
      </w:tr>
      <w:tr>
        <w:trPr>
          <w:cantSplit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RF099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Exibir indicadores contratuais e financeiros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Futuro após a BL-SGP-002</w:t>
            </w:r>
          </w:p>
        </w:tc>
      </w:tr>
      <w:tr>
        <w:trPr>
          <w:cantSplit/>
          <w:cantSplit/>
        </w:trPr>
        <w:tc>
          <w:tcPr>
            <w:tcW w:type="dxa" w:w="10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RF100</w:t>
            </w:r>
          </w:p>
        </w:tc>
        <w:tc>
          <w:tcPr>
            <w:tcW w:type="dxa" w:w="52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Preservar histórico e trilha de auditoria</w:t>
            </w:r>
          </w:p>
        </w:tc>
        <w:tc>
          <w:tcPr>
            <w:tcW w:type="dxa" w:w="31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Futuro após a BL-SGP-002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4. RM-003 - visão aprovada e futura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000"/>
        <w:gridCol w:w="6000"/>
        <w:gridCol w:w="2360"/>
      </w:tblGrid>
      <w:tr>
        <w:trPr>
          <w:cantSplit/>
          <w:tblHeader w:val="true"/>
          <w:tblHeader w:val="true"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ID</w:t>
            </w:r>
          </w:p>
        </w:tc>
        <w:tc>
          <w:tcPr>
            <w:tcW w:type="dxa" w:w="6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Tratamento</w:t>
            </w:r>
          </w:p>
        </w:tc>
      </w:tr>
      <w:tr>
        <w:trPr>
          <w:cantSplit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RF101</w:t>
            </w:r>
          </w:p>
        </w:tc>
        <w:tc>
          <w:tcPr>
            <w:tcW w:type="dxa" w:w="6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Abrir assistente contextual na tela de trabalho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Futuro</w:t>
            </w:r>
          </w:p>
        </w:tc>
      </w:tr>
      <w:tr>
        <w:trPr>
          <w:cantSplit/>
          <w:cantSplit/>
        </w:trPr>
        <w:tc>
          <w:tcPr>
            <w:tcW w:type="dxa" w:w="10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RF102</w:t>
            </w:r>
          </w:p>
        </w:tc>
        <w:tc>
          <w:tcPr>
            <w:tcW w:type="dxa" w:w="60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Permitir conversa livre com IA generativa</w:t>
            </w:r>
          </w:p>
        </w:tc>
        <w:tc>
          <w:tcPr>
            <w:tcW w:type="dxa" w:w="23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Futuro</w:t>
            </w:r>
          </w:p>
        </w:tc>
      </w:tr>
      <w:tr>
        <w:trPr>
          <w:cantSplit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RF103</w:t>
            </w:r>
          </w:p>
        </w:tc>
        <w:tc>
          <w:tcPr>
            <w:tcW w:type="dxa" w:w="6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Utilizar somente contexto autorizado do projeto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Futuro</w:t>
            </w:r>
          </w:p>
        </w:tc>
      </w:tr>
      <w:tr>
        <w:trPr>
          <w:cantSplit/>
          <w:cantSplit/>
        </w:trPr>
        <w:tc>
          <w:tcPr>
            <w:tcW w:type="dxa" w:w="10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RF104</w:t>
            </w:r>
          </w:p>
        </w:tc>
        <w:tc>
          <w:tcPr>
            <w:tcW w:type="dxa" w:w="60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Sugerir campos do Documento de Visão</w:t>
            </w:r>
          </w:p>
        </w:tc>
        <w:tc>
          <w:tcPr>
            <w:tcW w:type="dxa" w:w="23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Futuro</w:t>
            </w:r>
          </w:p>
        </w:tc>
      </w:tr>
      <w:tr>
        <w:trPr>
          <w:cantSplit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RF105</w:t>
            </w:r>
          </w:p>
        </w:tc>
        <w:tc>
          <w:tcPr>
            <w:tcW w:type="dxa" w:w="6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Solicitar informações ausentes antes de gerar conteúdo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Futuro</w:t>
            </w:r>
          </w:p>
        </w:tc>
      </w:tr>
      <w:tr>
        <w:trPr>
          <w:cantSplit/>
          <w:cantSplit/>
        </w:trPr>
        <w:tc>
          <w:tcPr>
            <w:tcW w:type="dxa" w:w="10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RF106</w:t>
            </w:r>
          </w:p>
        </w:tc>
        <w:tc>
          <w:tcPr>
            <w:tcW w:type="dxa" w:w="60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Aplicar sugestão somente após confirmação</w:t>
            </w:r>
          </w:p>
        </w:tc>
        <w:tc>
          <w:tcPr>
            <w:tcW w:type="dxa" w:w="23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Futuro</w:t>
            </w:r>
          </w:p>
        </w:tc>
      </w:tr>
      <w:tr>
        <w:trPr>
          <w:cantSplit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RF107</w:t>
            </w:r>
          </w:p>
        </w:tc>
        <w:tc>
          <w:tcPr>
            <w:tcW w:type="dxa" w:w="6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Editar a sugestão antes de aplicar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Futuro</w:t>
            </w:r>
          </w:p>
        </w:tc>
      </w:tr>
      <w:tr>
        <w:trPr>
          <w:cantSplit/>
          <w:cantSplit/>
        </w:trPr>
        <w:tc>
          <w:tcPr>
            <w:tcW w:type="dxa" w:w="10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RF108</w:t>
            </w:r>
          </w:p>
        </w:tc>
        <w:tc>
          <w:tcPr>
            <w:tcW w:type="dxa" w:w="60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Regenerar conteúdo e ajustar o tom</w:t>
            </w:r>
          </w:p>
        </w:tc>
        <w:tc>
          <w:tcPr>
            <w:tcW w:type="dxa" w:w="23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Futuro</w:t>
            </w:r>
          </w:p>
        </w:tc>
      </w:tr>
      <w:tr>
        <w:trPr>
          <w:cantSplit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RF109</w:t>
            </w:r>
          </w:p>
        </w:tc>
        <w:tc>
          <w:tcPr>
            <w:tcW w:type="dxa" w:w="6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Revisar consistência e identificar contradições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Futuro</w:t>
            </w:r>
          </w:p>
        </w:tc>
      </w:tr>
      <w:tr>
        <w:trPr>
          <w:cantSplit/>
          <w:cantSplit/>
        </w:trPr>
        <w:tc>
          <w:tcPr>
            <w:tcW w:type="dxa" w:w="10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RF110</w:t>
            </w:r>
          </w:p>
        </w:tc>
        <w:tc>
          <w:tcPr>
            <w:tcW w:type="dxa" w:w="60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Sugerir requisitos funcionais</w:t>
            </w:r>
          </w:p>
        </w:tc>
        <w:tc>
          <w:tcPr>
            <w:tcW w:type="dxa" w:w="23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Futuro</w:t>
            </w:r>
          </w:p>
        </w:tc>
      </w:tr>
      <w:tr>
        <w:trPr>
          <w:cantSplit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RF111</w:t>
            </w:r>
          </w:p>
        </w:tc>
        <w:tc>
          <w:tcPr>
            <w:tcW w:type="dxa" w:w="6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Sugerir requisitos não funcionais e regras de negócio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Futuro</w:t>
            </w:r>
          </w:p>
        </w:tc>
      </w:tr>
      <w:tr>
        <w:trPr>
          <w:cantSplit/>
          <w:cantSplit/>
        </w:trPr>
        <w:tc>
          <w:tcPr>
            <w:tcW w:type="dxa" w:w="10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RF112</w:t>
            </w:r>
          </w:p>
        </w:tc>
        <w:tc>
          <w:tcPr>
            <w:tcW w:type="dxa" w:w="60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Sugerir casos de teste e lacunas de rastreabilidade</w:t>
            </w:r>
          </w:p>
        </w:tc>
        <w:tc>
          <w:tcPr>
            <w:tcW w:type="dxa" w:w="23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Futuro</w:t>
            </w:r>
          </w:p>
        </w:tc>
      </w:tr>
      <w:tr>
        <w:trPr>
          <w:cantSplit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RF113</w:t>
            </w:r>
          </w:p>
        </w:tc>
        <w:tc>
          <w:tcPr>
            <w:tcW w:type="dxa" w:w="6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Apoiar análise preliminar de impacto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Futuro</w:t>
            </w:r>
          </w:p>
        </w:tc>
      </w:tr>
      <w:tr>
        <w:trPr>
          <w:cantSplit/>
          <w:cantSplit/>
        </w:trPr>
        <w:tc>
          <w:tcPr>
            <w:tcW w:type="dxa" w:w="10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RF114</w:t>
            </w:r>
          </w:p>
        </w:tc>
        <w:tc>
          <w:tcPr>
            <w:tcW w:type="dxa" w:w="60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Identificar autoria humana, sugestão de IA e validação</w:t>
            </w:r>
          </w:p>
        </w:tc>
        <w:tc>
          <w:tcPr>
            <w:tcW w:type="dxa" w:w="23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Futuro</w:t>
            </w:r>
          </w:p>
        </w:tc>
      </w:tr>
      <w:tr>
        <w:trPr>
          <w:cantSplit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RF115</w:t>
            </w:r>
          </w:p>
        </w:tc>
        <w:tc>
          <w:tcPr>
            <w:tcW w:type="dxa" w:w="6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Permitir habilitação, desabilitação e limites por organização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Futuro</w:t>
            </w:r>
          </w:p>
        </w:tc>
      </w:tr>
      <w:tr>
        <w:trPr>
          <w:cantSplit/>
          <w:cantSplit/>
        </w:trPr>
        <w:tc>
          <w:tcPr>
            <w:tcW w:type="dxa" w:w="10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RF116</w:t>
            </w:r>
          </w:p>
        </w:tc>
        <w:tc>
          <w:tcPr>
            <w:tcW w:type="dxa" w:w="60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Registrar histórico e consumo da assistência</w:t>
            </w:r>
          </w:p>
        </w:tc>
        <w:tc>
          <w:tcPr>
            <w:tcW w:type="dxa" w:w="23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Futuro</w:t>
            </w:r>
          </w:p>
        </w:tc>
      </w:tr>
    </w:tbl>
    <w:p>
      <w:pPr>
        <w:spacing w:before="0" w:after="40" w:line="240" w:lineRule="auto"/>
      </w:pPr>
    </w:p>
    <w:p>
      <w:pPr>
        <w:spacing w:before="120" w:after="180" w:line="276" w:lineRule="auto"/>
        <w:ind w:left="173" w:right="173"/>
        <w:shd w:fill="EEF4F5"/>
        <w:pBdr>
          <w:left w:val="single" w:sz="22" w:space="6" w:color="D89427"/>
        </w:pBdr>
      </w:pPr>
      <w:r>
        <w:rPr>
          <w:rFonts w:ascii="Liberation Sans" w:hAnsi="Liberation Sans" w:eastAsia="Liberation Sans" w:cs="Liberation Sans"/>
          <w:b/>
          <w:color w:val="D89427"/>
        </w:rPr>
        <w:t xml:space="preserve">Controle de escopo: </w:t>
      </w:r>
      <w:r>
        <w:rPr>
          <w:rFonts w:ascii="Liberation Sans" w:hAnsi="Liberation Sans" w:eastAsia="Liberation Sans" w:cs="Liberation Sans"/>
          <w:color w:val="24313A"/>
        </w:rPr>
        <w:t>A existência de um requisito no catálogo do produto não significa que ele integra a implementação imediata. O Catálogo da Baseline define o recorte da entrega.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080" w:left="1440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 w:eastAsia="Liberation Sans" w:cs="Liberation Sans"/>
        <w:color w:val="687780"/>
        <w:sz w:val="17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  <w:pBdr>
        <w:bottom w:val="single" w:sz="6" w:space="5" w:color="D7E3E5"/>
      </w:pBdr>
    </w:pPr>
    <w:r>
      <w:rPr>
        <w:rFonts w:ascii="Liberation Sans" w:hAnsi="Liberation Sans" w:eastAsia="Liberation Sans" w:cs="Liberation Sans"/>
        <w:b/>
        <w:color w:val="123B4A"/>
        <w:sz w:val="18"/>
      </w:rPr>
      <w:t>SGP</w:t>
    </w:r>
    <w:r>
      <w:rPr>
        <w:rFonts w:ascii="Liberation Sans" w:hAnsi="Liberation Sans" w:eastAsia="Liberation Sans" w:cs="Liberation Sans"/>
        <w:color w:val="687780"/>
        <w:sz w:val="17"/>
      </w:rPr>
      <w:t xml:space="preserve">  |  RF-SGP-002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suff w:val="tab"/>
      <w:numFmt w:val="decimal"/>
      <w:pStyle w:val="ListNumber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8">
    <w:nsid w:val="FFFFFF89"/>
    <w:multiLevelType w:val="singleLevel"/>
    <w:tmpl w:val="29761A62"/>
    <w:lvl w:ilvl="0">
      <w:start w:val="1"/>
      <w:suff w:val="tab"/>
      <w:numFmt w:val="bullet"/>
      <w:pStyle w:val="ListBullet"/>
      <w:lvlText w:val="•"/>
      <w:lvlJc w:val="left"/>
      <w:pPr>
        <w:tabs>
          <w:tab w:val="num" w:pos="540"/>
        </w:tabs>
        <w:ind w:left="540" w:hanging="270"/>
      </w:pPr>
      <w:rPr>
        <w:rFonts w:ascii="Liberation Sans" w:hAnsi="Liberation Sans" w:hint="default" w:cs="Liberation San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Liberation Sans" w:hAnsi="Liberation Sans" w:eastAsia="Liberation Sans" w:cs="Liberation Sans"/>
      <w:color w:val="243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Liberation Sans" w:hAnsi="Liberation Sans" w:eastAsia="Liberation Sans" w:cs="Liberation Sans"/>
      <w:b/>
      <w:bCs/>
      <w:color w:val="1D5D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Liberation Sans" w:hAnsi="Liberation Sans" w:eastAsia="Liberation Sans" w:cs="Liberation Sans"/>
      <w:b/>
      <w:bCs/>
      <w:color w:val="123B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Liberation Sans" w:hAnsi="Liberation Sans" w:eastAsia="Liberation Sans" w:cs="Liberation Sans"/>
      <w:b/>
      <w:bCs/>
      <w:color w:val="2E8B7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Liberation Sans" w:hAnsi="Liberation Sans" w:eastAsia="Liberation Sans" w:cs="Liberation Sans"/>
      <w:b/>
      <w:color w:val="123B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Liberation Sans" w:hAnsi="Liberation Sans" w:eastAsia="Liberation Sans" w:cs="Liberation Sans"/>
      <w:b w:val="0"/>
      <w:i/>
      <w:iCs/>
      <w:color w:val="68778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0" w:hanging="271"/>
      <w:contextualSpacing/>
    </w:pPr>
    <w:rPr>
      <w:rFonts w:ascii="Liberation Sans" w:hAnsi="Liberation Sans" w:eastAsia="Liberation Sans" w:cs="Liberation San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0" w:hanging="271"/>
      <w:contextualSpacing/>
    </w:pPr>
    <w:rPr>
      <w:rFonts w:ascii="Liberation Sans" w:hAnsi="Liberation Sans" w:eastAsia="Liberation Sans" w:cs="Liberation San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07 - Requisitos Funcionais - Baseline 2.0</dc:title>
  <dc:subject>Documentação do SGP</dc:subject>
  <dc:creator>Liliane Freitas</dc:creator>
  <cp:keywords>SGP, baseline, requisitos, rastreabilidade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