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RNF-SGP-002</w:t>
      </w:r>
    </w:p>
    <w:p>
      <w:pPr>
        <w:pStyle w:val="Title"/>
        <w:keepNext/>
      </w:pPr>
      <w:r>
        <w:t>Requisitos Não Funcionais</w:t>
      </w:r>
    </w:p>
    <w:p>
      <w:pPr>
        <w:pStyle w:val="Subtitle"/>
      </w:pPr>
      <w:r>
        <w:t>Qualidades adicionais da Fundação SaaS, preservando RNF001 a RNF035 e mantendo RNF036 a RNF050 reservados.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Herança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Os requisitos RNF001 a RNF035 permanecem aplicáveis. RNF036 a RNF050 ficam reservados para preservar a numeração anterior. Os itens abaixo reforçam segurança, integridade, migração, privacidade e evolução multiempresa.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700"/>
        <w:gridCol w:w="566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Descrição verificável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Isolamento multiempresa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Nenhuma requisição poderá ler, alterar ou relacionar dados de outra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RNF052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Autorização no servidor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Filtros visuais não serão considerados mecanismo de segurança.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Contexto organizacional confiável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organization_id será derivado da sessão autorizada e não aceito livremente do formulário.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RNF054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Defesa em profundidade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Consultas, políticas, relacionamentos, chaves e testes atuarão de forma complementar.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Isolamento de arquivos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Caminhos e autorizações de download serão segregados por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RNF056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Auditoria organizacional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Logs registrarão organização, ator, ação, recurso, data e resultado.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Migração reversível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 transição terá backup, validação de contagens e plano de retorno.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RNF058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Integridade referencial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Chaves estrangeiras e índices impedirão vínculos inválidos.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RNF059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Testes automatizados de isolamento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 suíte cobrirá leitura, escrita, exportação, arquivos e troca de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RNF060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Escalabilidade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 estratégia de tenant não poderá exigir duplicação do código por cliente.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Privacidade e proteção de dados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Acesso e retenção respeitarão finalidade, necessidade e permissões.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RNF062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Segurança da IA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Dados de uma organização não poderão compor o contexto de outra.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Transparência da IA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 interface indicará conteúdo gerado, limitações e necessidade de validação.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RNF064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Controle de consumo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Chamadas de IA poderão ser medidas e limitadas por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Portabilidade técnica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 modelagem lógica não dependerá de recurso exclusivo de um único SGBD.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RNF066</w:t>
            </w:r>
          </w:p>
        </w:tc>
        <w:tc>
          <w:tcPr>
            <w:tcW w:type="dxa" w:w="2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Compatibilidade com o código existente</w:t>
            </w:r>
          </w:p>
        </w:tc>
        <w:tc>
          <w:tcPr>
            <w:tcW w:type="dxa" w:w="5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Migrations preservarão convenções Laravel e dados já validados.</w:t>
            </w:r>
          </w:p>
        </w:tc>
      </w:tr>
    </w:tbl>
    <w:p>
      <w:pPr>
        <w:spacing w:before="0" w:after="40" w:line="240" w:lineRule="auto"/>
      </w:pPr>
    </w:p>
    <w:p>
      <w:r>
        <w:t>RNF062 a RNF064 são critérios para a futura integração de IA e não constituem implementação na BL-SGP-002.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Observação tecnológica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BL-SGP-001 confirma Laravel 12.64.0 e PostgreSQL como base oficial. A BL-SGP-002 deve preservar o projeto existente, as convenções Laravel e a portabilidade prevista. Tipos físicos serão definidos nas migrations após o inventário do esquema atual.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Critério de segurança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C44B4B"/>
        </w:pBdr>
      </w:pPr>
      <w:r>
        <w:rPr>
          <w:rFonts w:ascii="Liberation Sans" w:hAnsi="Liberation Sans" w:eastAsia="Liberation Sans" w:cs="Liberation Sans"/>
          <w:b/>
          <w:color w:val="C44B4B"/>
        </w:rPr>
        <w:t xml:space="preserve">Obrigatório: </w:t>
      </w:r>
      <w:r>
        <w:rPr>
          <w:rFonts w:ascii="Liberation Sans" w:hAnsi="Liberation Sans" w:eastAsia="Liberation Sans" w:cs="Liberation Sans"/>
          <w:color w:val="24313A"/>
        </w:rPr>
        <w:t>Qualquer falha que permita acesso cruzado entre organizações invalida a homologação, independentemente de a interface aparentar separação.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RNF-SGP-002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08 - Requisitos Não Funcionais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