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MTR-SGP-002</w:t>
      </w:r>
    </w:p>
    <w:p>
      <w:pPr>
        <w:pStyle w:val="Title"/>
        <w:keepNext/>
      </w:pPr>
      <w:r>
        <w:t>Matriz de Rastreabilidade</w:t>
      </w:r>
    </w:p>
    <w:p>
      <w:pPr>
        <w:pStyle w:val="Subtitle"/>
      </w:pPr>
      <w:r>
        <w:t>Relação entre mudanças, requisitos, regras, dados, casos de uso e testes da BL-SGP-002.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MTR-SGP-002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Escopo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A matriz da BL-SGP-001 permanece como referência para RF001 a RF060. Esta matriz cobre os itens novos e identifica explicitamente o que é futuro.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1800"/>
        <w:gridCol w:w="1700"/>
        <w:gridCol w:w="2050"/>
        <w:gridCol w:w="1350"/>
        <w:gridCol w:w="1410"/>
      </w:tblGrid>
      <w:tr>
        <w:trPr>
          <w:cantSplit/>
          <w:tblHeader w:val="true"/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RF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RN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Dados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UC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CT</w:t>
            </w:r>
          </w:p>
        </w:tc>
      </w:tr>
      <w:tr>
        <w:trPr>
          <w:cantSplit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RF061-RF064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RN056, RN066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Organização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UC017-UC018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CT-TEN-014</w:t>
            </w:r>
          </w:p>
        </w:tc>
      </w:tr>
      <w:tr>
        <w:trPr>
          <w:cantSplit/>
          <w:cantSplit/>
        </w:trPr>
        <w:tc>
          <w:tcPr>
            <w:tcW w:type="dxa" w:w="1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RM-001</w:t>
            </w:r>
          </w:p>
        </w:tc>
        <w:tc>
          <w:tcPr>
            <w:tcW w:type="dxa" w:w="1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RF065-RF067, RF076-RF078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RN058-RN061</w:t>
            </w:r>
          </w:p>
        </w:tc>
        <w:tc>
          <w:tcPr>
            <w:tcW w:type="dxa" w:w="2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Vínculo Organizacional</w:t>
            </w:r>
          </w:p>
        </w:tc>
        <w:tc>
          <w:tcPr>
            <w:tcW w:type="dxa" w:w="13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UC019-UC021</w:t>
            </w:r>
          </w:p>
        </w:tc>
        <w:tc>
          <w:tcPr>
            <w:tcW w:type="dxa" w:w="14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CT-TEN-011 a 015</w:t>
            </w:r>
          </w:p>
        </w:tc>
      </w:tr>
      <w:tr>
        <w:trPr>
          <w:cantSplit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RF068-RF069, RF074-RF075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RN057, RN065, RN067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organization_id e chaves compostas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Todos os casos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CT-TEN-001 a 010</w:t>
            </w:r>
          </w:p>
        </w:tc>
      </w:tr>
      <w:tr>
        <w:trPr>
          <w:cantSplit/>
          <w:cantSplit/>
        </w:trPr>
        <w:tc>
          <w:tcPr>
            <w:tcW w:type="dxa" w:w="1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RM-001</w:t>
            </w:r>
          </w:p>
        </w:tc>
        <w:tc>
          <w:tcPr>
            <w:tcW w:type="dxa" w:w="1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RF070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RN063-RN064</w:t>
            </w:r>
          </w:p>
        </w:tc>
        <w:tc>
          <w:tcPr>
            <w:tcW w:type="dxa" w:w="2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Cliente ou Demandante</w:t>
            </w:r>
          </w:p>
        </w:tc>
        <w:tc>
          <w:tcPr>
            <w:tcW w:type="dxa" w:w="13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UC022-UC023</w:t>
            </w:r>
          </w:p>
        </w:tc>
        <w:tc>
          <w:tcPr>
            <w:tcW w:type="dxa" w:w="14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CT-MIG-004, CT-MIG-005</w:t>
            </w:r>
          </w:p>
        </w:tc>
      </w:tr>
      <w:tr>
        <w:trPr>
          <w:cantSplit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RN068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Dados legados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UC026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CT-MIG-001 a 005</w:t>
            </w:r>
          </w:p>
        </w:tc>
      </w:tr>
      <w:tr>
        <w:trPr>
          <w:cantSplit/>
          <w:cantSplit/>
        </w:trPr>
        <w:tc>
          <w:tcPr>
            <w:tcW w:type="dxa" w:w="1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RM-001</w:t>
            </w:r>
          </w:p>
        </w:tc>
        <w:tc>
          <w:tcPr>
            <w:tcW w:type="dxa" w:w="1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RF072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RN069</w:t>
            </w:r>
          </w:p>
        </w:tc>
        <w:tc>
          <w:tcPr>
            <w:tcW w:type="dxa" w:w="2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Arquivos e documentos</w:t>
            </w:r>
          </w:p>
        </w:tc>
        <w:tc>
          <w:tcPr>
            <w:tcW w:type="dxa" w:w="13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UC028</w:t>
            </w:r>
          </w:p>
        </w:tc>
        <w:tc>
          <w:tcPr>
            <w:tcW w:type="dxa" w:w="14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CT-TEN-006, CT-TEN-007, CT-REG-003</w:t>
            </w:r>
          </w:p>
        </w:tc>
      </w:tr>
      <w:tr>
        <w:trPr>
          <w:cantSplit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RN070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Auditoria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UC027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CT-TEN-007, CT-TEN-014</w:t>
            </w:r>
          </w:p>
        </w:tc>
      </w:tr>
      <w:tr>
        <w:trPr>
          <w:cantSplit/>
          <w:cantSplit/>
        </w:trPr>
        <w:tc>
          <w:tcPr>
            <w:tcW w:type="dxa" w:w="1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RM-001</w:t>
            </w:r>
          </w:p>
        </w:tc>
        <w:tc>
          <w:tcPr>
            <w:tcW w:type="dxa" w:w="1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RF079-RF080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RN056-RN057</w:t>
            </w:r>
          </w:p>
        </w:tc>
        <w:tc>
          <w:tcPr>
            <w:tcW w:type="dxa" w:w="2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Configurações da organização</w:t>
            </w:r>
          </w:p>
        </w:tc>
        <w:tc>
          <w:tcPr>
            <w:tcW w:type="dxa" w:w="13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UC018</w:t>
            </w:r>
          </w:p>
        </w:tc>
        <w:tc>
          <w:tcPr>
            <w:tcW w:type="dxa" w:w="14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CT-TEN-014</w:t>
            </w:r>
          </w:p>
        </w:tc>
      </w:tr>
      <w:tr>
        <w:trPr>
          <w:cantSplit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RF081-RF086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RN071-RN072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Configuração do Projeto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UC024-UC025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CT-CFG-001 a 005</w:t>
            </w:r>
          </w:p>
        </w:tc>
      </w:tr>
      <w:tr>
        <w:trPr>
          <w:cantSplit/>
          <w:cantSplit/>
        </w:trPr>
        <w:tc>
          <w:tcPr>
            <w:tcW w:type="dxa" w:w="1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RM-002</w:t>
            </w:r>
          </w:p>
        </w:tc>
        <w:tc>
          <w:tcPr>
            <w:tcW w:type="dxa" w:w="1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RF087-RF100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RN073-RN080</w:t>
            </w:r>
          </w:p>
        </w:tc>
        <w:tc>
          <w:tcPr>
            <w:tcW w:type="dxa" w:w="2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Entidades futuras</w:t>
            </w:r>
          </w:p>
        </w:tc>
        <w:tc>
          <w:tcPr>
            <w:tcW w:type="dxa" w:w="13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  <w:tc>
          <w:tcPr>
            <w:tcW w:type="dxa" w:w="14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RF101-RF116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RN081-RN090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Entidades futuras de IA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Cobertura não funcional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/>
          <w:tblHeader w:val="true"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RNF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Evidência esperada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RNF051-RNF054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Testes negativos de leitura, escrita, relacionamento e troca de contexto.</w:t>
            </w:r>
          </w:p>
        </w:tc>
      </w:tr>
      <w:tr>
        <w:trPr>
          <w:cantSplit/>
          <w:cantSplit/>
        </w:trPr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RNF055</w:t>
            </w:r>
          </w:p>
        </w:tc>
        <w:tc>
          <w:tcPr>
            <w:tcW w:type="dxa" w:w="72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Tentativa de download e exportação fora do tenant.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RNF056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Eventos de auditoria com organização e ator.</w:t>
            </w:r>
          </w:p>
        </w:tc>
      </w:tr>
      <w:tr>
        <w:trPr>
          <w:cantSplit/>
          <w:cantSplit/>
        </w:trPr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RNF057-RNF058</w:t>
            </w:r>
          </w:p>
        </w:tc>
        <w:tc>
          <w:tcPr>
            <w:tcW w:type="dxa" w:w="72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Backup, relatório de reconciliação, FKs e índices.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RNF059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Suíte automatizada executada no pipeline ou ambiente de teste.</w:t>
            </w:r>
          </w:p>
        </w:tc>
      </w:tr>
      <w:tr>
        <w:trPr>
          <w:cantSplit/>
          <w:cantSplit/>
        </w:trPr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RNF060</w:t>
            </w:r>
          </w:p>
        </w:tc>
        <w:tc>
          <w:tcPr>
            <w:tcW w:type="dxa" w:w="72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Uma base de código atendendo múltiplas organizações.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RNF061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Revisão de acesso, retenção e permissões.</w:t>
            </w:r>
          </w:p>
        </w:tc>
      </w:tr>
      <w:tr>
        <w:trPr>
          <w:cantSplit/>
          <w:cantSplit/>
        </w:trPr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RNF062-RNF064</w:t>
            </w:r>
          </w:p>
        </w:tc>
        <w:tc>
          <w:tcPr>
            <w:tcW w:type="dxa" w:w="72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Critérios documentados para a futura implementação de IA.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RNF065-RNF066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Migrations compatíveis com o ambiente ativo e convenções Laravel.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Portões</w:t>
      </w:r>
    </w:p>
    <w:p>
      <w:pPr>
        <w:pStyle w:val="ListBullet"/>
      </w:pPr>
      <w:r>
        <w:t>Nenhum requisito incluído pode permanecer sem caso de uso ou comportamento descrito.</w:t>
      </w:r>
    </w:p>
    <w:p>
      <w:pPr>
        <w:pStyle w:val="ListBullet"/>
      </w:pPr>
      <w:r>
        <w:t>Nenhuma regra crítica de isolamento pode permanecer sem teste negativo.</w:t>
      </w:r>
    </w:p>
    <w:p>
      <w:pPr>
        <w:pStyle w:val="ListBullet"/>
      </w:pPr>
      <w:r>
        <w:t>Itens futuros não podem originar migrations nesta entrega.</w:t>
      </w:r>
    </w:p>
    <w:p>
      <w:pPr>
        <w:pStyle w:val="ListBullet"/>
      </w:pPr>
      <w:r>
        <w:t>A release candidata deve registrar a versão do código e a data de homologação.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MTR-SGP-002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09 - Matriz de Rastreabilidade -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