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left"/>
      </w:pPr>
      <w:r>
        <w:drawing>
          <wp:inline xmlns:a="http://schemas.openxmlformats.org/drawingml/2006/main" xmlns:pic="http://schemas.openxmlformats.org/drawingml/2006/picture">
            <wp:extent cx="530352" cy="530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gp-logo-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" cy="53035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 w:cs="Liberation Sans"/>
          <w:b/>
          <w:color w:val="123B4A"/>
          <w:sz w:val="36"/>
        </w:rPr>
        <w:t xml:space="preserve">  SGP</w:t>
      </w:r>
    </w:p>
    <w:p>
      <w:pPr>
        <w:spacing w:before="280" w:after="120" w:line="240" w:lineRule="auto"/>
      </w:pPr>
      <w:r>
        <w:rPr>
          <w:rFonts w:ascii="Liberation Sans" w:hAnsi="Liberation Sans" w:eastAsia="Liberation Sans" w:cs="Liberation Sans"/>
          <w:b/>
          <w:color w:val="2E8B74"/>
          <w:sz w:val="19"/>
        </w:rPr>
        <w:t>DER-SGP-002</w:t>
      </w:r>
    </w:p>
    <w:p>
      <w:pPr>
        <w:pStyle w:val="Title"/>
        <w:keepNext/>
      </w:pPr>
      <w:r>
        <w:t>DER Físico Delta</w:t>
      </w:r>
    </w:p>
    <w:p>
      <w:pPr>
        <w:pStyle w:val="Subtitle"/>
      </w:pPr>
      <w:r>
        <w:t>Alterações físicas aprovadas para a BL-SGP-002, a confirmar contra o código antes das migrations.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Informação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Sistema de Gestão de Projetos de Software (SGP)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Identificador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DER-SGP-002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Versão do documento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2.1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Situação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Revisado e aprovado para implementação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Data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27/07/2026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Responsável</w:t>
            </w:r>
          </w:p>
        </w:tc>
        <w:tc>
          <w:tcPr>
            <w:tcW w:type="dxa" w:w="71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Liliane Freitas</w:t>
            </w:r>
          </w:p>
        </w:tc>
      </w:tr>
    </w:tbl>
    <w:p>
      <w:pPr>
        <w:spacing w:before="0" w:after="40" w:line="240" w:lineRule="auto"/>
      </w:pPr>
    </w:p>
    <w:p>
      <w:r/>
    </w:p>
    <w:p>
      <w:pPr>
        <w:spacing w:before="200" w:after="0" w:line="288" w:lineRule="auto"/>
      </w:pPr>
      <w:r>
        <w:rPr>
          <w:rFonts w:ascii="Liberation Sans" w:hAnsi="Liberation Sans" w:eastAsia="Liberation Sans" w:cs="Liberation Sans"/>
          <w:i/>
          <w:color w:val="687780"/>
          <w:sz w:val="20"/>
        </w:rPr>
        <w:t>Estrutura conectada. Projetos organizados, decisões rastreáveis e software em evolução.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1. Finalidade</w:t>
      </w:r>
    </w:p>
    <w:p>
      <w:pPr>
        <w:spacing w:before="0" w:after="120" w:line="276" w:lineRule="auto"/>
      </w:pPr>
      <w:r>
        <w:rPr>
          <w:rFonts w:ascii="Liberation Sans" w:hAnsi="Liberation Sans" w:eastAsia="Liberation Sans" w:cs="Liberation Sans"/>
          <w:i w:val="0"/>
          <w:color w:val="24313A"/>
        </w:rPr>
        <w:t>Este documento descreve o delta físico em relação ao DER da BL-SGP-001. Ele não autoriza renomeação em massa de tabelas existentes. Os nomes finais devem respeitar o código Laravel e o banco ativo.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2. Estruturas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1100"/>
        <w:gridCol w:w="3500"/>
        <w:gridCol w:w="2560"/>
      </w:tblGrid>
      <w:tr>
        <w:trPr>
          <w:cantSplit/>
          <w:tblHeader w:val="true"/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Tabela ou grupo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Ação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Campos principais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7"/>
              </w:rPr>
              <w:t>Observação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organizations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Nova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id; name; slug; type; status; timezone; settings; created_at; updated_at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Raiz obrigatória dos dados de negócio.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organization_memberships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Nova</w:t>
            </w:r>
          </w:p>
        </w:tc>
        <w:tc>
          <w:tcPr>
            <w:tcW w:type="dxa" w:w="3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id; organization_id; user_id; role_code; status; is_default; joined_at; timestamps</w:t>
            </w:r>
          </w:p>
        </w:tc>
        <w:tc>
          <w:tcPr>
            <w:tcW w:type="dxa" w:w="25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Vínculo e papel do usuário por organização.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users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Preservada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Sem organization_id obrigatório na conta global.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Participação ocorre pelos vínculos.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clients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Alterada</w:t>
            </w:r>
          </w:p>
        </w:tc>
        <w:tc>
          <w:tcPr>
            <w:tcW w:type="dxa" w:w="3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Adicionar organization_id obrigatório após backfill.</w:t>
            </w:r>
          </w:p>
        </w:tc>
        <w:tc>
          <w:tcPr>
            <w:tcW w:type="dxa" w:w="25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Cliente ou demandante isolado por organização.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projects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Alterada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organization_id; client_id anulável; execution_nature; financial_management_mode; management_level; methodology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6"/>
              </w:rPr>
              <w:t>Projeto com configuração adaptativa.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project_user; requirements; requirement_versions; requirement_dependencies; tasks; task_histories; kanban_boards; kanban_columns; kanban_task_positions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Alteradas</w:t>
            </w:r>
          </w:p>
        </w:tc>
        <w:tc>
          <w:tcPr>
            <w:tcW w:type="dxa" w:w="3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Adicionar organization_id conforme a relação pai e o inventário de integridade.</w:t>
            </w:r>
          </w:p>
        </w:tc>
        <w:tc>
          <w:tcPr>
            <w:tcW w:type="dxa" w:w="25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Isolamento explícito, FKs e validação de relações dentro da mesma organização.</w:t>
            </w:r>
          </w:p>
        </w:tc>
      </w:tr>
      <w:tr>
        <w:trPr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document_templates; project_documents; project_comments; project_attachments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Alteradas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Adicionar organization_id e revisar caminhos de armazenamento.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Modelos e arquivos pertencem à organização; documentos gerados permanecem isolados.</w:t>
            </w:r>
          </w:p>
        </w:tc>
      </w:tr>
      <w:tr>
        <w:trPr>
          <w:cantSplit/>
          <w:cantSplit/>
        </w:trPr>
        <w:tc>
          <w:tcPr>
            <w:tcW w:type="dxa" w:w="22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project_activities e auditoria organizacional</w:t>
            </w:r>
          </w:p>
        </w:tc>
        <w:tc>
          <w:tcPr>
            <w:tcW w:type="dxa" w:w="11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Alterada e ampliada</w:t>
            </w:r>
          </w:p>
        </w:tc>
        <w:tc>
          <w:tcPr>
            <w:tcW w:type="dxa" w:w="35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Adicionar organization_id e registrar eventos estruturais da organização.</w:t>
            </w:r>
          </w:p>
        </w:tc>
        <w:tc>
          <w:tcPr>
            <w:tcW w:type="dxa" w:w="25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 trilha deve identificar organização, usuário, recurso, data e resultado.</w:t>
            </w:r>
          </w:p>
        </w:tc>
      </w:tr>
    </w:tbl>
    <w:p>
      <w:pPr>
        <w:spacing w:before="0" w:after="40" w:line="240" w:lineRule="auto"/>
      </w:pP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3. Relacionamentos</w:t>
      </w:r>
    </w:p>
    <w:p>
      <w:pPr>
        <w:pStyle w:val="ListBullet"/>
      </w:pPr>
      <w:r>
        <w:t>organizations 1:N organization_memberships.</w:t>
      </w:r>
    </w:p>
    <w:p>
      <w:pPr>
        <w:pStyle w:val="ListBullet"/>
      </w:pPr>
      <w:r>
        <w:t>users 1:N organization_memberships.</w:t>
      </w:r>
    </w:p>
    <w:p>
      <w:pPr>
        <w:pStyle w:val="ListBullet"/>
      </w:pPr>
      <w:r>
        <w:t>organizations 1:N clients.</w:t>
      </w:r>
    </w:p>
    <w:p>
      <w:pPr>
        <w:pStyle w:val="ListBullet"/>
      </w:pPr>
      <w:r>
        <w:t>organizations 1:N projects.</w:t>
      </w:r>
    </w:p>
    <w:p>
      <w:pPr>
        <w:pStyle w:val="ListBullet"/>
      </w:pPr>
      <w:r>
        <w:t>clients 1:N projects, com projects.client_id anulável.</w:t>
      </w:r>
    </w:p>
    <w:p>
      <w:pPr>
        <w:pStyle w:val="ListBullet"/>
      </w:pPr>
      <w:r>
        <w:t>organizations 1:N para todos os dados de domínio identificados no inventário.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4. Restrições</w:t>
      </w:r>
    </w:p>
    <w:p>
      <w:pPr>
        <w:pStyle w:val="ListBullet"/>
      </w:pPr>
      <w:r>
        <w:t>FK organization_memberships.organization_id -&gt; organizations.id.</w:t>
      </w:r>
    </w:p>
    <w:p>
      <w:pPr>
        <w:pStyle w:val="ListBullet"/>
      </w:pPr>
      <w:r>
        <w:t>FK organization_memberships.user_id -&gt; users.id.</w:t>
      </w:r>
    </w:p>
    <w:p>
      <w:pPr>
        <w:pStyle w:val="ListBullet"/>
      </w:pPr>
      <w:r>
        <w:t>Unicidade de vínculo por organization_id e user_id.</w:t>
      </w:r>
    </w:p>
    <w:p>
      <w:pPr>
        <w:pStyle w:val="ListBullet"/>
      </w:pPr>
      <w:r>
        <w:t>FK clients.organization_id -&gt; organizations.id.</w:t>
      </w:r>
    </w:p>
    <w:p>
      <w:pPr>
        <w:pStyle w:val="ListBullet"/>
      </w:pPr>
      <w:r>
        <w:t>FK projects.organization_id -&gt; organizations.id.</w:t>
      </w:r>
    </w:p>
    <w:p>
      <w:pPr>
        <w:pStyle w:val="ListBullet"/>
      </w:pPr>
      <w:r>
        <w:t>FK projects.client_id deve garantir cliente da mesma organização por validação e, quando viável, chave composta.</w:t>
      </w:r>
    </w:p>
    <w:p>
      <w:pPr>
        <w:pStyle w:val="ListBullet"/>
      </w:pPr>
      <w:r>
        <w:t>Índices iniciados por organization_id nas consultas frequentes.</w:t>
      </w:r>
    </w:p>
    <w:p>
      <w:pPr>
        <w:pStyle w:val="ListBullet"/>
      </w:pPr>
      <w:r>
        <w:t>Unicidades de código devem incluir organization_id.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5. Campos de projeto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00"/>
        <w:gridCol w:w="1800"/>
        <w:gridCol w:w="1700"/>
        <w:gridCol w:w="3260"/>
      </w:tblGrid>
      <w:tr>
        <w:trPr>
          <w:cantSplit/>
          <w:tblHeader w:val="true"/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Tipo lógico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Obrigatório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23B4A"/>
          </w:tcPr>
          <w:p>
            <w:pPr>
              <w:spacing w:before="0" w:after="0" w:line="240" w:lineRule="auto"/>
              <w:jc w:val="left"/>
            </w:pPr>
            <w:r>
              <w:rPr>
                <w:rFonts w:ascii="Liberation Sans" w:hAnsi="Liberation Sans" w:eastAsia="Liberation Sans" w:cs="Liberation Sans"/>
                <w:b/>
                <w:color w:val="FFFFFF"/>
                <w:sz w:val="18"/>
              </w:rPr>
              <w:t>Domínio inicial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organization_id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Identificador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 após migração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Organização ativa.</w:t>
            </w:r>
          </w:p>
        </w:tc>
      </w:tr>
      <w:tr>
        <w:trPr>
          <w:cantSplit/>
          <w:cantSplit/>
        </w:trPr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client_id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Identificador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Não</w:t>
            </w:r>
          </w:p>
        </w:tc>
        <w:tc>
          <w:tcPr>
            <w:tcW w:type="dxa" w:w="32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Cliente da mesma organização.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execution_nature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curto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internal, contracted, mixed.</w:t>
            </w:r>
          </w:p>
        </w:tc>
      </w:tr>
      <w:tr>
        <w:trPr>
          <w:cantSplit/>
          <w:cantSplit/>
        </w:trPr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financial_management_mode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curto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</w:t>
            </w:r>
          </w:p>
        </w:tc>
        <w:tc>
          <w:tcPr>
            <w:tcW w:type="dxa" w:w="32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not_applicable, internal_cost, fixed_price, monthly, hour_bank, hourly_rate, hybrid.</w:t>
            </w:r>
          </w:p>
        </w:tc>
      </w:tr>
      <w:tr>
        <w:trPr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management_level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curto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simplified, intermediate, complete.</w:t>
            </w:r>
          </w:p>
        </w:tc>
      </w:tr>
      <w:tr>
        <w:trPr>
          <w:cantSplit/>
          <w:cantSplit/>
        </w:trPr>
        <w:tc>
          <w:tcPr>
            <w:tcW w:type="dxa" w:w="26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methodology</w:t>
            </w:r>
          </w:p>
        </w:tc>
        <w:tc>
          <w:tcPr>
            <w:tcW w:type="dxa" w:w="18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Código curto</w:t>
            </w:r>
          </w:p>
        </w:tc>
        <w:tc>
          <w:tcPr>
            <w:tcW w:type="dxa" w:w="170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Sim</w:t>
            </w:r>
          </w:p>
        </w:tc>
        <w:tc>
          <w:tcPr>
            <w:tcW w:type="dxa" w:w="3260"/>
            <w:shd w:fill="F7FA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Liberation Sans" w:hAnsi="Liberation Sans" w:eastAsia="Liberation Sans" w:cs="Liberation Sans"/>
                <w:color w:val="24313A"/>
                <w:sz w:val="18"/>
              </w:rPr>
              <w:t>kanban, scrum, hybrid, traditional.</w:t>
            </w:r>
          </w:p>
        </w:tc>
      </w:tr>
    </w:tbl>
    <w:p>
      <w:pPr>
        <w:spacing w:before="0" w:after="40" w:line="240" w:lineRule="auto"/>
      </w:pPr>
    </w:p>
    <w:p>
      <w:r>
        <w:t>Exceções de escopo organizacional: users permanece como conta global; tabelas técnicas do Laravel não recebem organization_id por padrão. O contexto ativo é mantido na sessão e validado no servidor.</w:t>
      </w:r>
    </w:p>
    <w:p>
      <w:pPr>
        <w:pStyle w:val="Heading1"/>
      </w:pPr>
      <w:r>
        <w:rPr>
          <w:rFonts w:ascii="Liberation Sans" w:hAnsi="Liberation Sans" w:eastAsia="Liberation Sans" w:cs="Liberation Sans"/>
          <w:b/>
          <w:color w:val="1D5D73"/>
          <w:sz w:val="32"/>
        </w:rPr>
        <w:t>6. Estruturas proibidas nesta entrega</w:t>
      </w:r>
    </w:p>
    <w:p>
      <w:pPr>
        <w:pStyle w:val="ListBullet"/>
      </w:pPr>
      <w:r>
        <w:t>contracts, baselines, baseline_items, change_requests e impact_analyses.</w:t>
      </w:r>
    </w:p>
    <w:p>
      <w:pPr>
        <w:pStyle w:val="ListBullet"/>
      </w:pPr>
      <w:r>
        <w:t>addenda, financial_forecasts e contractual_projections.</w:t>
      </w:r>
    </w:p>
    <w:p>
      <w:pPr>
        <w:pStyle w:val="ListBullet"/>
      </w:pPr>
      <w:r>
        <w:t>ai_sessions, ai_suggestions, ai_validations e ai_usage.</w:t>
      </w:r>
    </w:p>
    <w:p>
      <w:pPr>
        <w:spacing w:before="120" w:after="180" w:line="276" w:lineRule="auto"/>
        <w:ind w:left="173" w:right="173"/>
        <w:shd w:fill="EEF4F5"/>
        <w:pBdr>
          <w:left w:val="single" w:sz="22" w:space="6" w:color="D89427"/>
        </w:pBdr>
      </w:pPr>
      <w:r>
        <w:rPr>
          <w:rFonts w:ascii="Liberation Sans" w:hAnsi="Liberation Sans" w:eastAsia="Liberation Sans" w:cs="Liberation Sans"/>
          <w:b/>
          <w:color w:val="D89427"/>
        </w:rPr>
        <w:t xml:space="preserve">Validação antes da migration: </w:t>
      </w:r>
      <w:r>
        <w:rPr>
          <w:rFonts w:ascii="Liberation Sans" w:hAnsi="Liberation Sans" w:eastAsia="Liberation Sans" w:cs="Liberation Sans"/>
          <w:color w:val="24313A"/>
        </w:rPr>
        <w:t>Confrontar cada nome com os models, migrations e relacionamentos existentes. A documentação conceitual não deve apagar convenções técnicas já adotadas.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440" w:bottom="1080" w:left="1440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eastAsia="Liberation Sans" w:cs="Liberation Sans"/>
        <w:color w:val="687780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  <w:pBdr>
        <w:bottom w:val="single" w:sz="6" w:space="5" w:color="D7E3E5"/>
      </w:pBdr>
    </w:pPr>
    <w:r>
      <w:rPr>
        <w:rFonts w:ascii="Liberation Sans" w:hAnsi="Liberation Sans" w:eastAsia="Liberation Sans" w:cs="Liberation Sans"/>
        <w:b/>
        <w:color w:val="123B4A"/>
        <w:sz w:val="18"/>
      </w:rPr>
      <w:t>SGP</w:t>
    </w:r>
    <w:r>
      <w:rPr>
        <w:rFonts w:ascii="Liberation Sans" w:hAnsi="Liberation Sans" w:eastAsia="Liberation Sans" w:cs="Liberation Sans"/>
        <w:color w:val="687780"/>
        <w:sz w:val="17"/>
      </w:rPr>
      <w:t xml:space="preserve">  |  DER-SGP-002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suff w:val="tab"/>
      <w:numFmt w:val="decimal"/>
      <w:pStyle w:val="ListNumber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8">
    <w:nsid w:val="FFFFFF89"/>
    <w:multiLevelType w:val="singleLevel"/>
    <w:tmpl w:val="29761A62"/>
    <w:lvl w:ilvl="0">
      <w:start w:val="1"/>
      <w:suff w:val="tab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  <w:rPr>
        <w:rFonts w:ascii="Liberation Sans" w:hAnsi="Liberation Sans" w:hint="default" w:cs="Liberation San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Liberation Sans" w:hAnsi="Liberation Sans" w:eastAsia="Liberation Sans" w:cs="Liberation Sans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D5D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123B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 w:eastAsia="Liberation Sans" w:cs="Liberation Sans"/>
      <w:b/>
      <w:bCs/>
      <w:color w:val="2E8B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 w:eastAsia="Liberation Sans" w:cs="Liberation Sans"/>
      <w:b/>
      <w:color w:val="123B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 w:eastAsia="Liberation Sans" w:cs="Liberation Sans"/>
      <w:b w:val="0"/>
      <w:i/>
      <w:iCs/>
      <w:color w:val="68778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Liberation Sans" w:hAnsi="Liberation Sans" w:eastAsia="Liberation Sans" w:cs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10 - DER Físico Delta - Baseline 2.0</dc:title>
  <dc:subject>Documentação do SGP</dc:subject>
  <dc:creator>Liliane Freitas</dc:creator>
  <cp:keywords>SGP, baseline, requisitos, rastreabilidade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