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DD-SGP-002</w:t>
      </w:r>
    </w:p>
    <w:p>
      <w:pPr>
        <w:pStyle w:val="Title"/>
        <w:keepNext/>
      </w:pPr>
      <w:r>
        <w:t>Dicionário de Dados Delta</w:t>
      </w:r>
    </w:p>
    <w:p>
      <w:pPr>
        <w:pStyle w:val="Subtitle"/>
      </w:pPr>
      <w:r>
        <w:t>Definições lógicas dos novos dados da BL-SGP-002.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DD-SGP-002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organizations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700"/>
        <w:gridCol w:w="1500"/>
        <w:gridCol w:w="3660"/>
      </w:tblGrid>
      <w:tr>
        <w:trPr>
          <w:cantSplit/>
          <w:tblHeader w:val="true"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Tipo lógico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Chave primária.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name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Texto curto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Nome exibido.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slug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Texto curto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 único da organização.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type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curto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Não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company, public_body, team ou outro catálogo aprovado.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curto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active ou suspended.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timezone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Texto curto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Fuso usado em registros e apresentações.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settings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Objeto estruturado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Preferências não críticas e versionáveis.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created_at / updated_at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 e hora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Auditoria técnica.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organization_memberships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700"/>
        <w:gridCol w:w="1500"/>
        <w:gridCol w:w="3660"/>
      </w:tblGrid>
      <w:tr>
        <w:trPr>
          <w:cantSplit/>
          <w:tblHeader w:val="true"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Tipo lógico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Chave primária.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organization_id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Organização do vínculo.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Conta global vinculada.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role_code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curto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Papel dentro da organização.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Código curto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active, invited ou suspended.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is_default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Booleano</w:t>
            </w:r>
          </w:p>
        </w:tc>
        <w:tc>
          <w:tcPr>
            <w:tcW w:type="dxa" w:w="1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Sim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Organização preferencial da conta.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joined_at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 e hora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 de efetivação do vínculo.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Campos adicionados a projects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1700"/>
        <w:gridCol w:w="1700"/>
        <w:gridCol w:w="3160"/>
      </w:tblGrid>
      <w:tr>
        <w:trPr>
          <w:cantSplit/>
          <w:tblHeader w:val="true"/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Tipo lógico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organization_id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Identificador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 após backfill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Titular lógico do projeto.</w:t>
            </w:r>
          </w:p>
        </w:tc>
      </w:tr>
      <w:tr>
        <w:trPr>
          <w:cantSplit/>
          <w:cantSplit/>
        </w:trPr>
        <w:tc>
          <w:tcPr>
            <w:tcW w:type="dxa" w:w="2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client_id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Identificador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Demandante opcional da mesma organização.</w:t>
            </w:r>
          </w:p>
        </w:tc>
      </w:tr>
      <w:tr>
        <w:trPr>
          <w:cantSplit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execution_nature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Natureza da execução.</w:t>
            </w:r>
          </w:p>
        </w:tc>
      </w:tr>
      <w:tr>
        <w:trPr>
          <w:cantSplit/>
          <w:cantSplit/>
        </w:trPr>
        <w:tc>
          <w:tcPr>
            <w:tcW w:type="dxa" w:w="2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financial_management_mode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Tratamento financeiro aplicável.</w:t>
            </w:r>
          </w:p>
        </w:tc>
      </w:tr>
      <w:tr>
        <w:trPr>
          <w:cantSplit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management_level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Nível de formalização e recursos.</w:t>
            </w:r>
          </w:p>
        </w:tc>
      </w:tr>
      <w:tr>
        <w:trPr>
          <w:cantSplit/>
          <w:cantSplit/>
        </w:trPr>
        <w:tc>
          <w:tcPr>
            <w:tcW w:type="dxa" w:w="2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methodology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Organização do trabalho.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organization_id nas tabelas existentes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O campo será incluído nas tabelas de dados de negócio identificadas pelo inventário técnico, incluindo clientes, projetos, vínculos de projeto, requisitos, versões, tarefas, quadros, colunas, documentos, modelos, comentários, anexos e históricos. A lista final deverá refletir exatamente o esquema implementado.</w:t>
      </w:r>
    </w:p>
    <w:p>
      <w:r>
        <w:t>users permanece global e se relaciona às organizações por organization_memberships. Tabelas técnicas do Laravel permanecem fora do domínio do tenant, salvo necessidade técnica comprovada.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Regras de migração</w:t>
      </w:r>
    </w:p>
    <w:p>
      <w:pPr>
        <w:pStyle w:val="ListBullet"/>
      </w:pPr>
      <w:r>
        <w:t>Adicionar a coluna inicialmente como anulável.</w:t>
      </w:r>
    </w:p>
    <w:p>
      <w:pPr>
        <w:pStyle w:val="ListBullet"/>
      </w:pPr>
      <w:r>
        <w:t>Preencher a partir da organização inicial e das relações pai.</w:t>
      </w:r>
    </w:p>
    <w:p>
      <w:pPr>
        <w:pStyle w:val="ListBullet"/>
      </w:pPr>
      <w:r>
        <w:t>Validar contagem, órfãos e conflitos.</w:t>
      </w:r>
    </w:p>
    <w:p>
      <w:pPr>
        <w:pStyle w:val="ListBullet"/>
      </w:pPr>
      <w:r>
        <w:t>Aplicar FK, índice e obrigatoriedade somente após aprovação.</w:t>
      </w:r>
    </w:p>
    <w:p>
      <w:pPr>
        <w:pStyle w:val="ListBullet"/>
      </w:pPr>
      <w:r>
        <w:t>Não gerar valores financeiros fictícios.</w:t>
      </w:r>
    </w:p>
    <w:p>
      <w:pPr>
        <w:pStyle w:val="ListBullet"/>
      </w:pPr>
      <w:r>
        <w:t>Preservar nível e metodologia já cadastrados.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Observação sobre tipos físicos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BIGINT, UUID, ENUM, VARCHAR, JSON e outros tipos serão definidos conforme o SGBD e as migrations atualmente adotados. Este dicionário fixa o significado e as regras, não uma troca de tecnologia.</w:t>
      </w:r>
    </w:p>
    <w:p>
      <w:pPr>
        <w:pStyle w:val="Heading1"/>
      </w:pPr>
      <w:r>
        <w:t>7. Domínios organizacionais iniciais</w:t>
      </w:r>
    </w:p>
    <w:p>
      <w:r>
        <w:t>Papéis de organization_memberships: owner (Proprietário), administrator (Administrador), member (Membro) e reader (Leitor). O perfil global administrator permanece reservado à administração excepcional da plataforma.</w:t>
      </w:r>
    </w:p>
    <w:p>
      <w:r>
        <w:t>Situações do vínculo: active, invited e suspended. Situações da organização: active e suspended.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DD-SGP-002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11 - Dicionário de Dados Delta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