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REG-EVOL-SGP</w:t>
      </w:r>
    </w:p>
    <w:p>
      <w:pPr>
        <w:pStyle w:val="Title"/>
        <w:keepNext/>
      </w:pPr>
      <w:r>
        <w:t>Registro de Evolução e Controle de Mudanças</w:t>
      </w:r>
    </w:p>
    <w:p>
      <w:pPr>
        <w:pStyle w:val="Subtitle"/>
      </w:pPr>
      <w:r>
        <w:t>Decisões que conduzem a passagem da BL-SGP-001 para a BL-SGP-002.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REG-EVOL-SGP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Objetivo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Registrar a origem, a decisão e o impacto das mudanças estruturais identificadas após o congelamento da Baseline 1.0. Este documento substitui a edição anterior do registro de evolução existente no pacote de transição.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Mudanças registradas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050"/>
        <w:gridCol w:w="1800"/>
        <w:gridCol w:w="1850"/>
        <w:gridCol w:w="2760"/>
      </w:tblGrid>
      <w:tr>
        <w:trPr>
          <w:cantSplit/>
          <w:tblHeader w:val="true"/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Mudança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Tratamento na BL-SGP-002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Síntese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Fundação SaaS Multiempresa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Aprovada e incluída na BL-SGP-002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Implementação nesta entrega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Organizações, vínculos, papéis, isolamento, migração e auditoria.</w:t>
            </w:r>
          </w:p>
        </w:tc>
      </w:tr>
      <w:tr>
        <w:trPr>
          <w:cantSplit/>
          <w:cantSplit/>
        </w:trPr>
        <w:tc>
          <w:tcPr>
            <w:tcW w:type="dxa" w:w="9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RM-002</w:t>
            </w:r>
          </w:p>
        </w:tc>
        <w:tc>
          <w:tcPr>
            <w:tcW w:type="dxa" w:w="20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Baselines, Mudanças e Impacto Contratual</w:t>
            </w:r>
          </w:p>
        </w:tc>
        <w:tc>
          <w:tcPr>
            <w:tcW w:type="dxa" w:w="1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Aprovada como capacidade do produto</w:t>
            </w:r>
          </w:p>
        </w:tc>
        <w:tc>
          <w:tcPr>
            <w:tcW w:type="dxa" w:w="1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Somente fundações nesta entrega</w:t>
            </w:r>
          </w:p>
        </w:tc>
        <w:tc>
          <w:tcPr>
            <w:tcW w:type="dxa" w:w="27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Configuração adaptativa agora; contratos, baselines e impacto completo em entrega futura.</w:t>
            </w:r>
          </w:p>
        </w:tc>
      </w:tr>
      <w:tr>
        <w:trPr>
          <w:cantSplit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RM-003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Assistência Inteligente à Gestão e Documentação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Aprovada como evolução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Fora da implementação atual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IA contextual documentada para implementação posterior, iniciando pelo Documento de Visão.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RM-001 - Fundação SaaS Multiempresa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A comercialização do SGP como SaaS exige separar o cliente pagante, titular de um espaço de trabalho, do cliente ou demandante de um projeto. A organização passa a ser a raiz obrigatória de todos os dados de negócio.</w:t>
      </w:r>
    </w:p>
    <w:p>
      <w:pPr>
        <w:pStyle w:val="ListBullet"/>
      </w:pPr>
      <w:r>
        <w:t>Criar organização, vínculos e papéis por organização.</w:t>
      </w:r>
    </w:p>
    <w:p>
      <w:pPr>
        <w:pStyle w:val="ListBullet"/>
      </w:pPr>
      <w:r>
        <w:t>Definir contexto organizacional ativo em toda requisição.</w:t>
      </w:r>
    </w:p>
    <w:p>
      <w:pPr>
        <w:pStyle w:val="ListBullet"/>
      </w:pPr>
      <w:r>
        <w:t>Tornar organization_id obrigatório após migração e validação.</w:t>
      </w:r>
    </w:p>
    <w:p>
      <w:pPr>
        <w:pStyle w:val="ListBullet"/>
      </w:pPr>
      <w:r>
        <w:t>Impedir leitura, escrita, relacionamento, exportação e download entre organizações.</w:t>
      </w:r>
    </w:p>
    <w:p>
      <w:pPr>
        <w:pStyle w:val="ListBullet"/>
      </w:pPr>
      <w:r>
        <w:t>Preservar contas globais para participação em mais de uma organização.</w:t>
      </w:r>
    </w:p>
    <w:p>
      <w:pPr>
        <w:pStyle w:val="ListBullet"/>
      </w:pPr>
      <w:r>
        <w:t>Preparar parâmetros e limites comerciais sem implementar cobrança nesta entrega.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RM-002 - Baselines, Mudanças e Impacto Contratual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A necessidade foi aprovada como diferencial central do produto. Contudo, a BL-SGP-002 implementará somente as fundações necessárias para classificar os projetos. O fluxo completo de contratos, baselines, solicitações, análises, aditivos e projeções ficará para uma entrega própria.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600"/>
        <w:gridCol w:w="3660"/>
      </w:tblGrid>
      <w:tr>
        <w:trPr>
          <w:cantSplit/>
          <w:tblHeader w:val="true"/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Valores iniciais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Função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Natureza da execução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Interno, contratado, misto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Indicar quem executa e para quem.</w:t>
            </w:r>
          </w:p>
        </w:tc>
      </w:tr>
      <w:tr>
        <w:trPr>
          <w:cantSplit/>
          <w:cantSplit/>
        </w:trPr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Tratamento financeiro</w:t>
            </w:r>
          </w:p>
        </w:tc>
        <w:tc>
          <w:tcPr>
            <w:tcW w:type="dxa" w:w="3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Não aplicável, custo interno, valor fixo, mensalidade, banco de horas, hora técnica, híbrido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Definir como esforço, custo e preço serão controlados.</w:t>
            </w:r>
          </w:p>
        </w:tc>
      </w:tr>
      <w:tr>
        <w:trPr>
          <w:cantSplit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Nível de gestão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Simplificado, intermediário, completo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Habilitar processos, controles e artefatos.</w:t>
            </w:r>
          </w:p>
        </w:tc>
      </w:tr>
      <w:tr>
        <w:trPr>
          <w:cantSplit/>
          <w:cantSplit/>
        </w:trPr>
        <w:tc>
          <w:tcPr>
            <w:tcW w:type="dxa" w:w="2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Metodologia</w:t>
            </w:r>
          </w:p>
        </w:tc>
        <w:tc>
          <w:tcPr>
            <w:tcW w:type="dxa" w:w="3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Kanban, Scrum, híbrida, tradicional</w:t>
            </w:r>
          </w:p>
        </w:tc>
        <w:tc>
          <w:tcPr>
            <w:tcW w:type="dxa" w:w="36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Organizar a execução do trabalho.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RM-003 - Assistência Inteligente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A IA será um assistente conversacional e contextual inserido nas telas de trabalho, começando pelo Documento de Visão. Ela organizará informações, identificará lacunas e sugerirá textos, requisitos, testes e análises, sempre sob validação humana.</w:t>
      </w:r>
    </w:p>
    <w:p>
      <w:pPr>
        <w:spacing w:before="120" w:after="180" w:line="276" w:lineRule="auto"/>
        <w:ind w:left="173" w:right="173"/>
        <w:shd w:fill="EEF4F5"/>
        <w:pBdr>
          <w:left w:val="single" w:sz="22" w:space="6" w:color="D89427"/>
        </w:pBdr>
      </w:pPr>
      <w:r>
        <w:rPr>
          <w:rFonts w:ascii="Liberation Sans" w:hAnsi="Liberation Sans" w:eastAsia="Liberation Sans" w:cs="Liberation Sans"/>
          <w:b/>
          <w:color w:val="D89427"/>
        </w:rPr>
        <w:t xml:space="preserve">Decisão de escopo: </w:t>
      </w:r>
      <w:r>
        <w:rPr>
          <w:rFonts w:ascii="Liberation Sans" w:hAnsi="Liberation Sans" w:eastAsia="Liberation Sans" w:cs="Liberation Sans"/>
          <w:color w:val="24313A"/>
        </w:rPr>
        <w:t>A integração com provedores de IA, sessões, consumo e armazenamento de sugestões não será implementada na BL-SGP-002.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6. Decisões arquiteturais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4300"/>
        <w:gridCol w:w="4060"/>
      </w:tblGrid>
      <w:tr>
        <w:trPr>
          <w:cantSplit/>
          <w:tblHeader w:val="true"/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Justificativa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DA-001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Preservar integralmente a BL-SGP-001.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Histórico confiável.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DA-002</w:t>
            </w:r>
          </w:p>
        </w:tc>
        <w:tc>
          <w:tcPr>
            <w:tcW w:type="dxa" w:w="43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Separar organização SaaS de cliente ou demandante.</w:t>
            </w:r>
          </w:p>
        </w:tc>
        <w:tc>
          <w:tcPr>
            <w:tcW w:type="dxa" w:w="40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Evita ambiguidade e sustenta multiempresa.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DA-003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Manter natureza, finanças, nível e metodologia independentes.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Permite combinações reais de projeto.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DA-004</w:t>
            </w:r>
          </w:p>
        </w:tc>
        <w:tc>
          <w:tcPr>
            <w:tcW w:type="dxa" w:w="43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Não criar tabelas vazias de módulos futuros.</w:t>
            </w:r>
          </w:p>
        </w:tc>
        <w:tc>
          <w:tcPr>
            <w:tcW w:type="dxa" w:w="40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Evita estrutura prematura sem fluxo aprovado.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DA-005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Manter usuários globais com vínculos organizacionais.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Permite participação controlada em mais de uma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DA-006</w:t>
            </w:r>
          </w:p>
        </w:tc>
        <w:tc>
          <w:tcPr>
            <w:tcW w:type="dxa" w:w="43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Aplicar isolamento no servidor e nos testes.</w:t>
            </w:r>
          </w:p>
        </w:tc>
        <w:tc>
          <w:tcPr>
            <w:tcW w:type="dxa" w:w="40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 interface não é fronteira de segurança.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DA-007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Posicionar o SGP como apoio ao MPS.BR.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 sistema gera suporte e evidências, mas não concede nível automaticamente.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DA-008</w:t>
            </w:r>
          </w:p>
        </w:tc>
        <w:tc>
          <w:tcPr>
            <w:tcW w:type="dxa" w:w="43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Separar baseline documental de release de software.</w:t>
            </w:r>
          </w:p>
        </w:tc>
        <w:tc>
          <w:tcPr>
            <w:tcW w:type="dxa" w:w="40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Não declarar implementação antes da homologação.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7. Impactos documentais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Impacto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Visão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Incluir SaaS, configuração adaptativa, governança de mudanças, IA contextual e apoio ao MPS.BR.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Regras e requisitos</w:t>
            </w:r>
          </w:p>
        </w:tc>
        <w:tc>
          <w:tcPr>
            <w:tcW w:type="dxa" w:w="68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Acrescentar RF061 a RF116, RN056 a RN090 e RNF051 a RNF066, distinguindo explicitamente itens incluídos e futuros e preservando intervalos reservados.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Modelo e dados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Introduzir Organização e Vínculo Organizacional; tornar cliente opcional no projeto.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Casos de uso</w:t>
            </w:r>
          </w:p>
        </w:tc>
        <w:tc>
          <w:tcPr>
            <w:tcW w:type="dxa" w:w="68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Acrescentar fluxos de organização, vínculo, troca de contexto, configuração e migração.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Testes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Cobrir isolamento, permissões, migração, arquivos, exportações e configuração adaptativa.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Rastreabilidade</w:t>
            </w:r>
          </w:p>
        </w:tc>
        <w:tc>
          <w:tcPr>
            <w:tcW w:type="dxa" w:w="68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Relacionar mudança, requisito, regra, dado, caso de uso, teste e versão.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8. Aprovação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As três mudanças foram reconhecidas como parte da visão do produto. Somente os itens explicitamente marcados como incluídos no Plano da Entrega integram o compromisso técnico imediato da BL-SGP-002.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REG-EVOL-SGP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12 - Registro de Evolução e Controle de Mudanças - RM-001 a RM-003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