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240" w:lineRule="auto"/>
        <w:jc w:val="left"/>
      </w:pPr>
      <w:r>
        <w:drawing>
          <wp:inline xmlns:a="http://schemas.openxmlformats.org/drawingml/2006/main" xmlns:pic="http://schemas.openxmlformats.org/drawingml/2006/picture">
            <wp:extent cx="530352" cy="5303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sgp-logo-108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" cy="530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Liberation Sans" w:hAnsi="Liberation Sans" w:eastAsia="Liberation Sans" w:cs="Liberation Sans"/>
          <w:b/>
          <w:color w:val="123B4A"/>
          <w:sz w:val="36"/>
        </w:rPr>
        <w:t xml:space="preserve">  SGP</w:t>
      </w:r>
    </w:p>
    <w:p>
      <w:pPr>
        <w:spacing w:before="280" w:after="120" w:line="240" w:lineRule="auto"/>
      </w:pPr>
      <w:r>
        <w:rPr>
          <w:rFonts w:ascii="Liberation Sans" w:hAnsi="Liberation Sans" w:eastAsia="Liberation Sans" w:cs="Liberation Sans"/>
          <w:b/>
          <w:color w:val="2E8B74"/>
          <w:sz w:val="19"/>
        </w:rPr>
        <w:t>PLAN-TRANS-MULTI</w:t>
      </w:r>
    </w:p>
    <w:p>
      <w:pPr>
        <w:pStyle w:val="Title"/>
        <w:keepNext/>
      </w:pPr>
      <w:r>
        <w:t>Diagnóstico e Plano de Transição Multiempresa</w:t>
      </w:r>
    </w:p>
    <w:p>
      <w:pPr>
        <w:pStyle w:val="Subtitle"/>
      </w:pPr>
      <w:r>
        <w:t>Estratégia controlada para introduzir organizações sem perder dados existentes.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200"/>
        <w:gridCol w:w="7160"/>
      </w:tblGrid>
      <w:tr>
        <w:trPr>
          <w:cantSplit/>
          <w:tblHeader w:val="true"/>
          <w:tblHeader w:val="true"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7"/>
              </w:rPr>
              <w:t>Informação</w:t>
            </w:r>
          </w:p>
        </w:tc>
      </w:tr>
      <w:tr>
        <w:trPr>
          <w:cantSplit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Sistema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Sistema de Gestão de Projetos de Software (SGP)</w:t>
            </w:r>
          </w:p>
        </w:tc>
      </w:tr>
      <w:tr>
        <w:trPr>
          <w:cantSplit/>
          <w:cantSplit/>
        </w:trPr>
        <w:tc>
          <w:tcPr>
            <w:tcW w:type="dxa" w:w="22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Identificador</w:t>
            </w:r>
          </w:p>
        </w:tc>
        <w:tc>
          <w:tcPr>
            <w:tcW w:type="dxa" w:w="716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PLAN-TRANS-MULTI</w:t>
            </w:r>
          </w:p>
        </w:tc>
      </w:tr>
      <w:tr>
        <w:trPr>
          <w:cantSplit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Versão do documento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2.1</w:t>
            </w:r>
          </w:p>
        </w:tc>
      </w:tr>
      <w:tr>
        <w:trPr>
          <w:cantSplit/>
          <w:cantSplit/>
        </w:trPr>
        <w:tc>
          <w:tcPr>
            <w:tcW w:type="dxa" w:w="22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Situação</w:t>
            </w:r>
          </w:p>
        </w:tc>
        <w:tc>
          <w:tcPr>
            <w:tcW w:type="dxa" w:w="716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Revisado e aprovado para implementação</w:t>
            </w:r>
          </w:p>
        </w:tc>
      </w:tr>
      <w:tr>
        <w:trPr>
          <w:cantSplit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Data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27/07/2026</w:t>
            </w:r>
          </w:p>
        </w:tc>
      </w:tr>
      <w:tr>
        <w:trPr>
          <w:cantSplit/>
          <w:cantSplit/>
        </w:trPr>
        <w:tc>
          <w:tcPr>
            <w:tcW w:type="dxa" w:w="22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Responsável</w:t>
            </w:r>
          </w:p>
        </w:tc>
        <w:tc>
          <w:tcPr>
            <w:tcW w:type="dxa" w:w="716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Liliane Freitas</w:t>
            </w:r>
          </w:p>
        </w:tc>
      </w:tr>
    </w:tbl>
    <w:p>
      <w:pPr>
        <w:spacing w:before="0" w:after="40" w:line="240" w:lineRule="auto"/>
      </w:pPr>
    </w:p>
    <w:p>
      <w:r/>
    </w:p>
    <w:p>
      <w:pPr>
        <w:spacing w:before="200" w:after="0" w:line="288" w:lineRule="auto"/>
      </w:pPr>
      <w:r>
        <w:rPr>
          <w:rFonts w:ascii="Liberation Sans" w:hAnsi="Liberation Sans" w:eastAsia="Liberation Sans" w:cs="Liberation Sans"/>
          <w:i/>
          <w:color w:val="687780"/>
          <w:sz w:val="20"/>
        </w:rPr>
        <w:t>Estrutura conectada. Projetos organizados, decisões rastreáveis e software em evolução.</w:t>
      </w:r>
    </w:p>
    <w:p>
      <w:r>
        <w:br w:type="page"/>
      </w:r>
    </w:p>
    <w:p>
      <w:pPr>
        <w:pStyle w:val="Heading1"/>
      </w:pPr>
      <w:r>
        <w:rPr>
          <w:rFonts w:ascii="Liberation Sans" w:hAnsi="Liberation Sans" w:eastAsia="Liberation Sans" w:cs="Liberation Sans"/>
          <w:b/>
          <w:color w:val="1D5D73"/>
          <w:sz w:val="32"/>
        </w:rPr>
        <w:t>1. Diagnóstico</w:t>
      </w:r>
    </w:p>
    <w:p>
      <w:pPr>
        <w:spacing w:before="0" w:after="120" w:line="276" w:lineRule="auto"/>
      </w:pPr>
      <w:r>
        <w:rPr>
          <w:rFonts w:ascii="Liberation Sans" w:hAnsi="Liberation Sans" w:eastAsia="Liberation Sans" w:cs="Liberation Sans"/>
          <w:i w:val="0"/>
          <w:color w:val="24313A"/>
        </w:rPr>
        <w:t>A Baseline 1.0 tratava cliente, setor, órgão ou unidade como raiz do projeto e pressupunha vínculo obrigatório. Para o modelo SaaS, esse conceito é insuficiente: o cliente pagante precisa possuir um espaço de trabalho próprio, enquanto o projeto pode ou não ter um demandante externo.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4000"/>
        <w:gridCol w:w="5360"/>
      </w:tblGrid>
      <w:tr>
        <w:trPr>
          <w:cantSplit/>
          <w:tblHeader w:val="true"/>
          <w:tblHeader w:val="true"/>
          <w:cantSplit/>
        </w:trPr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8"/>
              </w:rPr>
              <w:t>Situação anterior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8"/>
              </w:rPr>
              <w:t>Situação aprovada</w:t>
            </w:r>
          </w:p>
        </w:tc>
      </w:tr>
      <w:tr>
        <w:trPr>
          <w:cantSplit/>
          <w:cantSplit/>
        </w:trPr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Projeto pertence a um cliente.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Projeto pertence obrigatoriamente a uma organização e pode possuir um demandante.</w:t>
            </w:r>
          </w:p>
        </w:tc>
      </w:tr>
      <w:tr>
        <w:trPr>
          <w:cantSplit/>
          <w:cantSplit/>
        </w:trPr>
        <w:tc>
          <w:tcPr>
            <w:tcW w:type="dxa" w:w="40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Usuário possui perfil global.</w:t>
            </w:r>
          </w:p>
        </w:tc>
        <w:tc>
          <w:tcPr>
            <w:tcW w:type="dxa" w:w="536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Conta é global, mas o papel é definido em cada vínculo organizacional.</w:t>
            </w:r>
          </w:p>
        </w:tc>
      </w:tr>
      <w:tr>
        <w:trPr>
          <w:cantSplit/>
          <w:cantSplit/>
        </w:trPr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Administrador pode consultar tudo.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Administrador da organização consulta somente seu espaço; acesso de plataforma será excepcional e auditado.</w:t>
            </w:r>
          </w:p>
        </w:tc>
      </w:tr>
      <w:tr>
        <w:trPr>
          <w:cantSplit/>
          <w:cantSplit/>
        </w:trPr>
        <w:tc>
          <w:tcPr>
            <w:tcW w:type="dxa" w:w="40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Dados não possuem tenant explícito.</w:t>
            </w:r>
          </w:p>
        </w:tc>
        <w:tc>
          <w:tcPr>
            <w:tcW w:type="dxa" w:w="536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Dados de negócio carregam organization_id e são filtrados no servidor.</w:t>
            </w:r>
          </w:p>
        </w:tc>
      </w:tr>
      <w:tr>
        <w:trPr>
          <w:cantSplit/>
          <w:cantSplit/>
        </w:trPr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Campos de projeto misturam decisões.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Natureza, finanças, nível de gestão e metodologia são independentes.</w:t>
            </w:r>
          </w:p>
        </w:tc>
      </w:tr>
    </w:tbl>
    <w:p>
      <w:pPr>
        <w:spacing w:before="0" w:after="40" w:line="240" w:lineRule="auto"/>
      </w:pPr>
    </w:p>
    <w:p>
      <w:pPr>
        <w:pStyle w:val="Heading1"/>
      </w:pPr>
      <w:r>
        <w:rPr>
          <w:rFonts w:ascii="Liberation Sans" w:hAnsi="Liberation Sans" w:eastAsia="Liberation Sans" w:cs="Liberation Sans"/>
          <w:b/>
          <w:color w:val="1D5D73"/>
          <w:sz w:val="32"/>
        </w:rPr>
        <w:t>2. Invariantes de segurança</w:t>
      </w:r>
    </w:p>
    <w:p>
      <w:pPr>
        <w:pStyle w:val="ListBullet"/>
      </w:pPr>
      <w:r>
        <w:t>Toda operação de negócio ocorre dentro de uma organização ativa e autorizada.</w:t>
      </w:r>
    </w:p>
    <w:p>
      <w:pPr>
        <w:pStyle w:val="ListBullet"/>
      </w:pPr>
      <w:r>
        <w:t>organization_id é obtido do contexto seguro da sessão, nunca confiado diretamente ao formulário.</w:t>
      </w:r>
    </w:p>
    <w:p>
      <w:pPr>
        <w:pStyle w:val="ListBullet"/>
      </w:pPr>
      <w:r>
        <w:t>Políticas e consultas validam o vínculo antes de acessar dados.</w:t>
      </w:r>
    </w:p>
    <w:p>
      <w:pPr>
        <w:pStyle w:val="ListBullet"/>
      </w:pPr>
      <w:r>
        <w:t>Relacionamentos só aceitam registros da mesma organização.</w:t>
      </w:r>
    </w:p>
    <w:p>
      <w:pPr>
        <w:pStyle w:val="ListBullet"/>
      </w:pPr>
      <w:r>
        <w:t>Arquivos, documentos e exportações repetem a mesma fronteira de autorização.</w:t>
      </w:r>
    </w:p>
    <w:p>
      <w:pPr>
        <w:pStyle w:val="ListBullet"/>
      </w:pPr>
      <w:r>
        <w:t>Trocar a organização ativa invalida dados carregados e permissões do contexto anterior.</w:t>
      </w:r>
    </w:p>
    <w:p>
      <w:pPr>
        <w:pStyle w:val="ListBullet"/>
      </w:pPr>
      <w:r>
        <w:t>Testes automatizados tentam explicitamente atravessar a fronteira entre organizações.</w:t>
      </w:r>
    </w:p>
    <w:p>
      <w:pPr>
        <w:pStyle w:val="Heading1"/>
      </w:pPr>
      <w:r>
        <w:rPr>
          <w:rFonts w:ascii="Liberation Sans" w:hAnsi="Liberation Sans" w:eastAsia="Liberation Sans" w:cs="Liberation Sans"/>
          <w:b/>
          <w:color w:val="1D5D73"/>
          <w:sz w:val="32"/>
        </w:rPr>
        <w:t>3. Sequência de migração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650"/>
        <w:gridCol w:w="1500"/>
        <w:gridCol w:w="4400"/>
        <w:gridCol w:w="2810"/>
      </w:tblGrid>
      <w:tr>
        <w:trPr>
          <w:cantSplit/>
          <w:tblHeader w:val="true"/>
          <w:tblHeader w:val="true"/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7"/>
              </w:rPr>
              <w:t>Etapa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7"/>
              </w:rPr>
              <w:t>Fase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7"/>
              </w:rPr>
              <w:t>Ação</w:t>
            </w:r>
          </w:p>
        </w:tc>
        <w:tc>
          <w:tcPr>
            <w:tcW w:type="dxa" w:w="2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7"/>
              </w:rPr>
              <w:t>Saída esperada</w:t>
            </w:r>
          </w:p>
        </w:tc>
      </w:tr>
      <w:tr>
        <w:trPr>
          <w:cantSplit/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1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Preparar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Backup integral, inventário de tabelas, contagens, órfãos, FKs e arquivos.</w:t>
            </w:r>
          </w:p>
        </w:tc>
        <w:tc>
          <w:tcPr>
            <w:tcW w:type="dxa" w:w="2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Relatório pré-migração aprovado.</w:t>
            </w:r>
          </w:p>
        </w:tc>
      </w:tr>
      <w:tr>
        <w:trPr>
          <w:cantSplit/>
          <w:cantSplit/>
        </w:trPr>
        <w:tc>
          <w:tcPr>
            <w:tcW w:type="dxa" w:w="65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2</w:t>
            </w:r>
          </w:p>
        </w:tc>
        <w:tc>
          <w:tcPr>
            <w:tcW w:type="dxa" w:w="15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Criar fundação</w:t>
            </w:r>
          </w:p>
        </w:tc>
        <w:tc>
          <w:tcPr>
            <w:tcW w:type="dxa" w:w="44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Criar organizations e organization_memberships.</w:t>
            </w:r>
          </w:p>
        </w:tc>
        <w:tc>
          <w:tcPr>
            <w:tcW w:type="dxa" w:w="281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Organização inicial e vínculos existentes disponíveis.</w:t>
            </w:r>
          </w:p>
        </w:tc>
      </w:tr>
      <w:tr>
        <w:trPr>
          <w:cantSplit/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3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Adicionar colunas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Adicionar organization_id como anulável aos dados de negócio.</w:t>
            </w:r>
          </w:p>
        </w:tc>
        <w:tc>
          <w:tcPr>
            <w:tcW w:type="dxa" w:w="2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Código ainda compatível com registros legados.</w:t>
            </w:r>
          </w:p>
        </w:tc>
      </w:tr>
      <w:tr>
        <w:trPr>
          <w:cantSplit/>
          <w:cantSplit/>
        </w:trPr>
        <w:tc>
          <w:tcPr>
            <w:tcW w:type="dxa" w:w="65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4</w:t>
            </w:r>
          </w:p>
        </w:tc>
        <w:tc>
          <w:tcPr>
            <w:tcW w:type="dxa" w:w="15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Preencher dados</w:t>
            </w:r>
          </w:p>
        </w:tc>
        <w:tc>
          <w:tcPr>
            <w:tcW w:type="dxa" w:w="44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Associar registros existentes à organização inicial em transação controlada.</w:t>
            </w:r>
          </w:p>
        </w:tc>
        <w:tc>
          <w:tcPr>
            <w:tcW w:type="dxa" w:w="281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Nenhum registro de negócio sem organização.</w:t>
            </w:r>
          </w:p>
        </w:tc>
      </w:tr>
      <w:tr>
        <w:trPr>
          <w:cantSplit/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5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Validar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Comparar contagens, órfãos, vínculos e caminhos de arquivos.</w:t>
            </w:r>
          </w:p>
        </w:tc>
        <w:tc>
          <w:tcPr>
            <w:tcW w:type="dxa" w:w="2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Relatório de reconciliação sem divergências críticas.</w:t>
            </w:r>
          </w:p>
        </w:tc>
      </w:tr>
      <w:tr>
        <w:trPr>
          <w:cantSplit/>
          <w:cantSplit/>
        </w:trPr>
        <w:tc>
          <w:tcPr>
            <w:tcW w:type="dxa" w:w="65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6</w:t>
            </w:r>
          </w:p>
        </w:tc>
        <w:tc>
          <w:tcPr>
            <w:tcW w:type="dxa" w:w="15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Aplicar restrições</w:t>
            </w:r>
          </w:p>
        </w:tc>
        <w:tc>
          <w:tcPr>
            <w:tcW w:type="dxa" w:w="44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Tornar chaves obrigatórias, criar FKs, índices e unicidades compostas.</w:t>
            </w:r>
          </w:p>
        </w:tc>
        <w:tc>
          <w:tcPr>
            <w:tcW w:type="dxa" w:w="281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Banco impede inconsistências essenciais.</w:t>
            </w:r>
          </w:p>
        </w:tc>
      </w:tr>
      <w:tr>
        <w:trPr>
          <w:cantSplit/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7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Ativar contexto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Habilitar middleware, escopos, políticas e validações de organização.</w:t>
            </w:r>
          </w:p>
        </w:tc>
        <w:tc>
          <w:tcPr>
            <w:tcW w:type="dxa" w:w="2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Aplicação opera em modo multiempresa.</w:t>
            </w:r>
          </w:p>
        </w:tc>
      </w:tr>
      <w:tr>
        <w:trPr>
          <w:cantSplit/>
          <w:cantSplit/>
        </w:trPr>
        <w:tc>
          <w:tcPr>
            <w:tcW w:type="dxa" w:w="65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8</w:t>
            </w:r>
          </w:p>
        </w:tc>
        <w:tc>
          <w:tcPr>
            <w:tcW w:type="dxa" w:w="15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Homologar</w:t>
            </w:r>
          </w:p>
        </w:tc>
        <w:tc>
          <w:tcPr>
            <w:tcW w:type="dxa" w:w="44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Executar suíte de isolamento, regressão e configuração adaptativa.</w:t>
            </w:r>
          </w:p>
        </w:tc>
        <w:tc>
          <w:tcPr>
            <w:tcW w:type="dxa" w:w="281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Critérios de aceite atendidos.</w:t>
            </w:r>
          </w:p>
        </w:tc>
      </w:tr>
    </w:tbl>
    <w:p>
      <w:pPr>
        <w:spacing w:before="0" w:after="40" w:line="240" w:lineRule="auto"/>
      </w:pPr>
    </w:p>
    <w:p>
      <w:pPr>
        <w:pStyle w:val="Heading1"/>
      </w:pPr>
      <w:r>
        <w:rPr>
          <w:rFonts w:ascii="Liberation Sans" w:hAnsi="Liberation Sans" w:eastAsia="Liberation Sans" w:cs="Liberation Sans"/>
          <w:b/>
          <w:color w:val="1D5D73"/>
          <w:sz w:val="32"/>
        </w:rPr>
        <w:t>4. Valores de migração para projetos existentes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350"/>
        <w:gridCol w:w="4200"/>
        <w:gridCol w:w="2810"/>
      </w:tblGrid>
      <w:tr>
        <w:trPr>
          <w:cantSplit/>
          <w:tblHeader w:val="true"/>
          <w:tblHeader w:val="true"/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8"/>
              </w:rPr>
              <w:t>Estratégia inicial</w:t>
            </w:r>
          </w:p>
        </w:tc>
        <w:tc>
          <w:tcPr>
            <w:tcW w:type="dxa" w:w="2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8"/>
              </w:rPr>
              <w:t>Validação</w:t>
            </w:r>
          </w:p>
        </w:tc>
      </w:tr>
      <w:tr>
        <w:trPr>
          <w:cantSplit/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organization_id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Organização inicial criada para o ambiente existente.</w:t>
            </w:r>
          </w:p>
        </w:tc>
        <w:tc>
          <w:tcPr>
            <w:tcW w:type="dxa" w:w="2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Obrigatório após reconciliação.</w:t>
            </w:r>
          </w:p>
        </w:tc>
      </w:tr>
      <w:tr>
        <w:trPr>
          <w:cantSplit/>
          <w:cantSplit/>
        </w:trPr>
        <w:tc>
          <w:tcPr>
            <w:tcW w:type="dxa" w:w="235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client_id</w:t>
            </w:r>
          </w:p>
        </w:tc>
        <w:tc>
          <w:tcPr>
            <w:tcW w:type="dxa" w:w="42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Preservar vínculo atual, quando existente; permitir nulo depois.</w:t>
            </w:r>
          </w:p>
        </w:tc>
        <w:tc>
          <w:tcPr>
            <w:tcW w:type="dxa" w:w="281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Nenhum vínculo entre organizações.</w:t>
            </w:r>
          </w:p>
        </w:tc>
      </w:tr>
      <w:tr>
        <w:trPr>
          <w:cantSplit/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execution_nature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internal para o próprio SGP, salvo revisão explícita.</w:t>
            </w:r>
          </w:p>
        </w:tc>
        <w:tc>
          <w:tcPr>
            <w:tcW w:type="dxa" w:w="2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Domínio permitido.</w:t>
            </w:r>
          </w:p>
        </w:tc>
      </w:tr>
      <w:tr>
        <w:trPr>
          <w:cantSplit/>
          <w:cantSplit/>
        </w:trPr>
        <w:tc>
          <w:tcPr>
            <w:tcW w:type="dxa" w:w="235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financial_management_mode</w:t>
            </w:r>
          </w:p>
        </w:tc>
        <w:tc>
          <w:tcPr>
            <w:tcW w:type="dxa" w:w="42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not_applicable para projetos sem cobrança registrada.</w:t>
            </w:r>
          </w:p>
        </w:tc>
        <w:tc>
          <w:tcPr>
            <w:tcW w:type="dxa" w:w="281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Não criar valores monetários fictícios.</w:t>
            </w:r>
          </w:p>
        </w:tc>
      </w:tr>
      <w:tr>
        <w:trPr>
          <w:cantSplit/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management_level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Preservar o valor existente.</w:t>
            </w:r>
          </w:p>
        </w:tc>
        <w:tc>
          <w:tcPr>
            <w:tcW w:type="dxa" w:w="2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Sem perda de configuração.</w:t>
            </w:r>
          </w:p>
        </w:tc>
      </w:tr>
      <w:tr>
        <w:trPr>
          <w:cantSplit/>
          <w:cantSplit/>
        </w:trPr>
        <w:tc>
          <w:tcPr>
            <w:tcW w:type="dxa" w:w="235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methodology</w:t>
            </w:r>
          </w:p>
        </w:tc>
        <w:tc>
          <w:tcPr>
            <w:tcW w:type="dxa" w:w="42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Preservar o valor existente; usar kanban somente quando ausente e confirmado.</w:t>
            </w:r>
          </w:p>
        </w:tc>
        <w:tc>
          <w:tcPr>
            <w:tcW w:type="dxa" w:w="281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Sem sobrescrita silenciosa.</w:t>
            </w:r>
          </w:p>
        </w:tc>
      </w:tr>
    </w:tbl>
    <w:p>
      <w:pPr>
        <w:spacing w:before="0" w:after="40" w:line="240" w:lineRule="auto"/>
      </w:pPr>
    </w:p>
    <w:p>
      <w:pPr>
        <w:pStyle w:val="Heading1"/>
      </w:pPr>
      <w:r>
        <w:rPr>
          <w:rFonts w:ascii="Liberation Sans" w:hAnsi="Liberation Sans" w:eastAsia="Liberation Sans" w:cs="Liberation Sans"/>
          <w:b/>
          <w:color w:val="1D5D73"/>
          <w:sz w:val="32"/>
        </w:rPr>
        <w:t>5. Estratégia de retorno</w:t>
      </w:r>
    </w:p>
    <w:p>
      <w:pPr>
        <w:pStyle w:val="ListBullet"/>
      </w:pPr>
      <w:r>
        <w:t>Não remover colunas antigas na mesma janela em que as novas são introduzidas.</w:t>
      </w:r>
    </w:p>
    <w:p>
      <w:pPr>
        <w:pStyle w:val="ListBullet"/>
      </w:pPr>
      <w:r>
        <w:t>Manter backup identificado e testado antes da primeira alteração.</w:t>
      </w:r>
    </w:p>
    <w:p>
      <w:pPr>
        <w:pStyle w:val="ListBullet"/>
      </w:pPr>
      <w:r>
        <w:t>Executar migrations em ambiente de homologação com cópia sanitizada ou controlada dos dados.</w:t>
      </w:r>
    </w:p>
    <w:p>
      <w:pPr>
        <w:pStyle w:val="ListBullet"/>
      </w:pPr>
      <w:r>
        <w:t>Interromper a implantação se houver registros órfãos, divergência de contagem ou falha em testes críticos.</w:t>
      </w:r>
    </w:p>
    <w:p>
      <w:pPr>
        <w:pStyle w:val="ListBullet"/>
      </w:pPr>
      <w:r>
        <w:t>Reverter somente migrations explicitamente reversíveis e restaurar o backup quando a integridade não puder ser garantida.</w:t>
      </w:r>
    </w:p>
    <w:p>
      <w:pPr>
        <w:pStyle w:val="Heading1"/>
      </w:pPr>
      <w:r>
        <w:rPr>
          <w:rFonts w:ascii="Liberation Sans" w:hAnsi="Liberation Sans" w:eastAsia="Liberation Sans" w:cs="Liberation Sans"/>
          <w:b/>
          <w:color w:val="1D5D73"/>
          <w:sz w:val="32"/>
        </w:rPr>
        <w:t>6. Riscos e controles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900"/>
        <w:gridCol w:w="1100"/>
        <w:gridCol w:w="5360"/>
      </w:tblGrid>
      <w:tr>
        <w:trPr>
          <w:cantSplit/>
          <w:tblHeader w:val="true"/>
          <w:tblHeader w:val="true"/>
          <w:cantSplit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8"/>
              </w:rPr>
              <w:t>Risco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8"/>
              </w:rPr>
              <w:t>Impacto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8"/>
              </w:rPr>
              <w:t>Controle</w:t>
            </w:r>
          </w:p>
        </w:tc>
      </w:tr>
      <w:tr>
        <w:trPr>
          <w:cantSplit/>
          <w:cantSplit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Vazamento entre organizações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Crítico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Contexto obrigatório, políticas, FKs, testes negativos e revisão de segurança.</w:t>
            </w:r>
          </w:p>
        </w:tc>
      </w:tr>
      <w:tr>
        <w:trPr>
          <w:cantSplit/>
          <w:cantSplit/>
        </w:trPr>
        <w:tc>
          <w:tcPr>
            <w:tcW w:type="dxa" w:w="29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Dados legados sem organização</w:t>
            </w:r>
          </w:p>
        </w:tc>
        <w:tc>
          <w:tcPr>
            <w:tcW w:type="dxa" w:w="11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Alto</w:t>
            </w:r>
          </w:p>
        </w:tc>
        <w:tc>
          <w:tcPr>
            <w:tcW w:type="dxa" w:w="536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Backfill, relatório de órfãos e NOT NULL somente após validação.</w:t>
            </w:r>
          </w:p>
        </w:tc>
      </w:tr>
      <w:tr>
        <w:trPr>
          <w:cantSplit/>
          <w:cantSplit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Administrador com acesso excessivo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Alto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Papéis por organização e acesso de plataforma excepcional.</w:t>
            </w:r>
          </w:p>
        </w:tc>
      </w:tr>
      <w:tr>
        <w:trPr>
          <w:cantSplit/>
          <w:cantSplit/>
        </w:trPr>
        <w:tc>
          <w:tcPr>
            <w:tcW w:type="dxa" w:w="29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Arquivos fora do isolamento</w:t>
            </w:r>
          </w:p>
        </w:tc>
        <w:tc>
          <w:tcPr>
            <w:tcW w:type="dxa" w:w="11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Alto</w:t>
            </w:r>
          </w:p>
        </w:tc>
        <w:tc>
          <w:tcPr>
            <w:tcW w:type="dxa" w:w="536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Caminhos por organização e autorização no download.</w:t>
            </w:r>
          </w:p>
        </w:tc>
      </w:tr>
      <w:tr>
        <w:trPr>
          <w:cantSplit/>
          <w:cantSplit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Quebra de fluxos existentes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Médio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Regressão de autenticação, projetos, requisitos, tarefas, documentos e painel.</w:t>
            </w:r>
          </w:p>
        </w:tc>
      </w:tr>
      <w:tr>
        <w:trPr>
          <w:cantSplit/>
          <w:cantSplit/>
        </w:trPr>
        <w:tc>
          <w:tcPr>
            <w:tcW w:type="dxa" w:w="29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Modelagem prematura de módulos futuros</w:t>
            </w:r>
          </w:p>
        </w:tc>
        <w:tc>
          <w:tcPr>
            <w:tcW w:type="dxa" w:w="11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Médio</w:t>
            </w:r>
          </w:p>
        </w:tc>
        <w:tc>
          <w:tcPr>
            <w:tcW w:type="dxa" w:w="536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Não criar tabelas de contratos, baselines ou IA nesta entrega.</w:t>
            </w:r>
          </w:p>
        </w:tc>
      </w:tr>
    </w:tbl>
    <w:p>
      <w:pPr>
        <w:spacing w:before="0" w:after="40" w:line="240" w:lineRule="auto"/>
      </w:pPr>
    </w:p>
    <w:p>
      <w:pPr>
        <w:pStyle w:val="Heading1"/>
      </w:pPr>
      <w:r>
        <w:rPr>
          <w:rFonts w:ascii="Liberation Sans" w:hAnsi="Liberation Sans" w:eastAsia="Liberation Sans" w:cs="Liberation Sans"/>
          <w:b/>
          <w:color w:val="1D5D73"/>
          <w:sz w:val="32"/>
        </w:rPr>
        <w:t>7. Critérios de conclusão</w:t>
      </w:r>
    </w:p>
    <w:p>
      <w:pPr>
        <w:pStyle w:val="ListBullet"/>
      </w:pPr>
      <w:r>
        <w:t>Todos os registros de negócio possuem organization_id válido.</w:t>
      </w:r>
    </w:p>
    <w:p>
      <w:pPr>
        <w:pStyle w:val="ListBullet"/>
      </w:pPr>
      <w:r>
        <w:t>Nenhum teste consegue acessar ou relacionar dados de outra organização.</w:t>
      </w:r>
    </w:p>
    <w:p>
      <w:pPr>
        <w:pStyle w:val="ListBullet"/>
      </w:pPr>
      <w:r>
        <w:t>Troca de organização respeita vínculos e papéis.</w:t>
      </w:r>
    </w:p>
    <w:p>
      <w:pPr>
        <w:pStyle w:val="ListBullet"/>
      </w:pPr>
      <w:r>
        <w:t>Clientes são isolados e opcionais no projeto.</w:t>
      </w:r>
    </w:p>
    <w:p>
      <w:pPr>
        <w:pStyle w:val="ListBullet"/>
      </w:pPr>
      <w:r>
        <w:t>Campos adaptativos do projeto são persistidos e explicados ao usuário.</w:t>
      </w:r>
    </w:p>
    <w:p>
      <w:pPr>
        <w:pStyle w:val="ListBullet"/>
      </w:pPr>
      <w:r>
        <w:t>Fluxos atuais permanecem funcionais.</w:t>
      </w:r>
    </w:p>
    <w:p>
      <w:pPr>
        <w:pStyle w:val="ListBullet"/>
      </w:pPr>
      <w:r>
        <w:t>Evidências de migração e homologação foram arquivadas.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440" w:bottom="1080" w:left="1440" w:header="547" w:footer="54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ans" w:hAnsi="Liberation Sans" w:eastAsia="Liberation Sans" w:cs="Liberation Sans"/>
        <w:color w:val="687780"/>
        <w:sz w:val="17"/>
      </w:rP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  <w:jc w:val="left"/>
      <w:pBdr>
        <w:bottom w:val="single" w:sz="6" w:space="5" w:color="D7E3E5"/>
      </w:pBdr>
    </w:pPr>
    <w:r>
      <w:rPr>
        <w:rFonts w:ascii="Liberation Sans" w:hAnsi="Liberation Sans" w:eastAsia="Liberation Sans" w:cs="Liberation Sans"/>
        <w:b/>
        <w:color w:val="123B4A"/>
        <w:sz w:val="18"/>
      </w:rPr>
      <w:t>SGP</w:t>
    </w:r>
    <w:r>
      <w:rPr>
        <w:rFonts w:ascii="Liberation Sans" w:hAnsi="Liberation Sans" w:eastAsia="Liberation Sans" w:cs="Liberation Sans"/>
        <w:color w:val="687780"/>
        <w:sz w:val="17"/>
      </w:rPr>
      <w:t xml:space="preserve">  |  PLAN-TRANS-MULTI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suff w:val="tab"/>
      <w:numFmt w:val="decimal"/>
      <w:pStyle w:val="ListNumber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8">
    <w:nsid w:val="FFFFFF89"/>
    <w:multiLevelType w:val="singleLevel"/>
    <w:tmpl w:val="29761A62"/>
    <w:lvl w:ilvl="0">
      <w:start w:val="1"/>
      <w:suff w:val="tab"/>
      <w:numFmt w:val="bullet"/>
      <w:pStyle w:val="ListBullet"/>
      <w:lvlText w:val="•"/>
      <w:lvlJc w:val="left"/>
      <w:pPr>
        <w:tabs>
          <w:tab w:val="num" w:pos="540"/>
        </w:tabs>
        <w:ind w:left="540" w:hanging="270"/>
      </w:pPr>
      <w:rPr>
        <w:rFonts w:ascii="Liberation Sans" w:hAnsi="Liberation Sans" w:hint="default" w:cs="Liberation Sans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Liberation Sans" w:hAnsi="Liberation Sans" w:eastAsia="Liberation Sans" w:cs="Liberation Sans"/>
      <w:color w:val="2431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80"/>
      <w:outlineLvl w:val="0"/>
    </w:pPr>
    <w:rPr>
      <w:rFonts w:asciiTheme="majorHAnsi" w:eastAsiaTheme="majorEastAsia" w:hAnsiTheme="majorHAnsi" w:cstheme="majorBidi" w:ascii="Liberation Sans" w:hAnsi="Liberation Sans" w:eastAsia="Liberation Sans" w:cs="Liberation Sans"/>
      <w:b/>
      <w:bCs/>
      <w:color w:val="1D5D7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Liberation Sans" w:hAnsi="Liberation Sans" w:eastAsia="Liberation Sans" w:cs="Liberation Sans"/>
      <w:b/>
      <w:bCs/>
      <w:color w:val="123B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Liberation Sans" w:hAnsi="Liberation Sans" w:eastAsia="Liberation Sans" w:cs="Liberation Sans"/>
      <w:b/>
      <w:bCs/>
      <w:color w:val="2E8B7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0"/>
      <w:contextualSpacing/>
    </w:pPr>
    <w:rPr>
      <w:rFonts w:asciiTheme="majorHAnsi" w:eastAsiaTheme="majorEastAsia" w:hAnsiTheme="majorHAnsi" w:cstheme="majorBidi" w:ascii="Liberation Sans" w:hAnsi="Liberation Sans" w:eastAsia="Liberation Sans" w:cs="Liberation Sans"/>
      <w:b/>
      <w:color w:val="123B4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60"/>
    </w:pPr>
    <w:rPr>
      <w:rFonts w:asciiTheme="majorHAnsi" w:eastAsiaTheme="majorEastAsia" w:hAnsiTheme="majorHAnsi" w:cstheme="majorBidi" w:ascii="Liberation Sans" w:hAnsi="Liberation Sans" w:eastAsia="Liberation Sans" w:cs="Liberation Sans"/>
      <w:b w:val="0"/>
      <w:i/>
      <w:iCs/>
      <w:color w:val="687780"/>
      <w:spacing w:val="15"/>
      <w:sz w:val="2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ind w:left="540" w:hanging="271"/>
      <w:contextualSpacing/>
    </w:pPr>
    <w:rPr>
      <w:rFonts w:ascii="Liberation Sans" w:hAnsi="Liberation Sans" w:eastAsia="Liberation Sans" w:cs="Liberation San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ind w:left="540" w:hanging="271"/>
      <w:contextualSpacing/>
    </w:pPr>
    <w:rPr>
      <w:rFonts w:ascii="Liberation Sans" w:hAnsi="Liberation Sans" w:eastAsia="Liberation Sans" w:cs="Liberation San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13 - Diagnóstico e Plano de Transição Multiempresa</dc:title>
  <dc:subject>Documentação do SGP</dc:subject>
  <dc:creator>Liliane Freitas</dc:creator>
  <cp:keywords>SGP, baseline, requisitos, rastreabilidade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