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530352" cy="530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gp-logo-10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" cy="530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 w:cs="Liberation Sans"/>
          <w:b/>
          <w:color w:val="123B4A"/>
          <w:sz w:val="36"/>
        </w:rPr>
        <w:t xml:space="preserve">  SGP</w:t>
      </w:r>
    </w:p>
    <w:p>
      <w:pPr>
        <w:spacing w:before="280" w:after="120" w:line="240" w:lineRule="auto"/>
      </w:pPr>
      <w:r>
        <w:rPr>
          <w:rFonts w:ascii="Liberation Sans" w:hAnsi="Liberation Sans" w:eastAsia="Liberation Sans" w:cs="Liberation Sans"/>
          <w:b/>
          <w:color w:val="2E8B74"/>
          <w:sz w:val="19"/>
        </w:rPr>
        <w:t>TEST-BL-SGP-002</w:t>
      </w:r>
    </w:p>
    <w:p>
      <w:pPr>
        <w:pStyle w:val="Title"/>
        <w:keepNext/>
      </w:pPr>
      <w:r>
        <w:t>Plano e Casos de Teste de Isolamento Multiempresa</w:t>
      </w:r>
    </w:p>
    <w:p>
      <w:pPr>
        <w:pStyle w:val="Subtitle"/>
      </w:pPr>
      <w:r>
        <w:t>Homologação da Fundação SaaS e da configuração adaptativa de projetos.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cantSplit/>
          <w:tblHeader w:val="true"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Informação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Sistema de Gestão de Projetos de Software (SGP)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Identificador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TEST-BL-SGP-002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Versão do documento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2.1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Situação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Revisado e aprovado para implementação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Data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27/07/2026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Responsável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Liliane Freitas</w:t>
            </w:r>
          </w:p>
        </w:tc>
      </w:tr>
    </w:tbl>
    <w:p>
      <w:pPr>
        <w:spacing w:before="0" w:after="40" w:line="240" w:lineRule="auto"/>
      </w:pPr>
    </w:p>
    <w:p>
      <w:r/>
    </w:p>
    <w:p>
      <w:pPr>
        <w:spacing w:before="200" w:after="0" w:line="288" w:lineRule="auto"/>
      </w:pPr>
      <w:r>
        <w:rPr>
          <w:rFonts w:ascii="Liberation Sans" w:hAnsi="Liberation Sans" w:eastAsia="Liberation Sans" w:cs="Liberation Sans"/>
          <w:i/>
          <w:color w:val="687780"/>
          <w:sz w:val="20"/>
        </w:rPr>
        <w:t>Estrutura conectada. Projetos organizados, decisões rastreáveis e software em evolução.</w:t>
      </w:r>
    </w:p>
    <w:p>
      <w:r>
        <w:br w:type="page"/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1. Objetivo</w:t>
      </w:r>
    </w:p>
    <w:p>
      <w:pPr>
        <w:spacing w:before="0" w:after="120" w:line="276" w:lineRule="auto"/>
      </w:pPr>
      <w:r>
        <w:rPr>
          <w:rFonts w:ascii="Liberation Sans" w:hAnsi="Liberation Sans" w:eastAsia="Liberation Sans" w:cs="Liberation Sans"/>
          <w:i w:val="0"/>
          <w:color w:val="24313A"/>
        </w:rPr>
        <w:t>Comprovar que a BL-SGP-002 preserva os fluxos existentes e impede qualquer leitura, alteração, relacionamento, exportação ou download entre organizações.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2. Massa mínima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3480"/>
        <w:gridCol w:w="3480"/>
      </w:tblGrid>
      <w:tr>
        <w:trPr>
          <w:cantSplit/>
          <w:tblHeader w:val="true"/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Organização A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Organização B</w:t>
            </w:r>
          </w:p>
        </w:tc>
      </w:tr>
      <w:tr>
        <w:trPr>
          <w:cantSplit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Usuários exclusivos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ana.a@teste.local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bruno.b@teste.local</w:t>
            </w:r>
          </w:p>
        </w:tc>
      </w:tr>
      <w:tr>
        <w:trPr>
          <w:cantSplit/>
          <w:cantSplit/>
        </w:trPr>
        <w:tc>
          <w:tcPr>
            <w:tcW w:type="dxa" w:w="24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Usuário compartilhado</w:t>
            </w:r>
          </w:p>
        </w:tc>
        <w:tc>
          <w:tcPr>
            <w:tcW w:type="dxa" w:w="348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lili@teste.local como gerente</w:t>
            </w:r>
          </w:p>
        </w:tc>
        <w:tc>
          <w:tcPr>
            <w:tcW w:type="dxa" w:w="348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lili@teste.local como leitora</w:t>
            </w:r>
          </w:p>
        </w:tc>
      </w:tr>
      <w:tr>
        <w:trPr>
          <w:cantSplit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Clientes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Cliente A1 e A2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Cliente B1</w:t>
            </w:r>
          </w:p>
        </w:tc>
      </w:tr>
      <w:tr>
        <w:trPr>
          <w:cantSplit/>
          <w:cantSplit/>
        </w:trPr>
        <w:tc>
          <w:tcPr>
            <w:tcW w:type="dxa" w:w="24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Projetos</w:t>
            </w:r>
          </w:p>
        </w:tc>
        <w:tc>
          <w:tcPr>
            <w:tcW w:type="dxa" w:w="348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Projeto A interno e Projeto A contratado</w:t>
            </w:r>
          </w:p>
        </w:tc>
        <w:tc>
          <w:tcPr>
            <w:tcW w:type="dxa" w:w="348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Projeto B interno</w:t>
            </w:r>
          </w:p>
        </w:tc>
      </w:tr>
      <w:tr>
        <w:trPr>
          <w:cantSplit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Arquivos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Documento A e anexo A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Documento B e anexo B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3. Evidências</w:t>
      </w:r>
    </w:p>
    <w:p>
      <w:pPr>
        <w:pStyle w:val="ListBullet"/>
      </w:pPr>
      <w:r>
        <w:t>Captura da tela ou resposta HTTP para testes manuais.</w:t>
      </w:r>
    </w:p>
    <w:p>
      <w:pPr>
        <w:pStyle w:val="ListBullet"/>
      </w:pPr>
      <w:r>
        <w:t>Log da execução automatizada com identificação do caso.</w:t>
      </w:r>
    </w:p>
    <w:p>
      <w:pPr>
        <w:pStyle w:val="ListBullet"/>
      </w:pPr>
      <w:r>
        <w:t>Consulta de verificação no banco para contagens, órfãos e vínculos.</w:t>
      </w:r>
    </w:p>
    <w:p>
      <w:pPr>
        <w:pStyle w:val="ListBullet"/>
      </w:pPr>
      <w:r>
        <w:t>Registro de auditoria nas tentativas bloqueadas relevantes.</w:t>
      </w:r>
    </w:p>
    <w:p>
      <w:pPr>
        <w:pStyle w:val="ListBullet"/>
      </w:pPr>
      <w:r>
        <w:t>Hash ou identificação do arquivo gerado quando houver exportação.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4. Casos de teste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50"/>
        <w:gridCol w:w="2700"/>
        <w:gridCol w:w="2400"/>
        <w:gridCol w:w="3010"/>
      </w:tblGrid>
      <w:tr>
        <w:trPr>
          <w:cantSplit/>
          <w:tblHeader w:val="true"/>
          <w:tblHeader w:val="true"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Cenário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Precondição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Resultado esperado</w:t>
            </w:r>
          </w:p>
        </w:tc>
      </w:tr>
      <w:tr>
        <w:trPr>
          <w:cantSplit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CT-TEN-001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Listar projetos na Organização 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Usuário A vinculado à A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Somente projetos de A.</w:t>
            </w:r>
          </w:p>
        </w:tc>
      </w:tr>
      <w:tr>
        <w:trPr>
          <w:cantSplit/>
          <w:cantSplit/>
        </w:trPr>
        <w:tc>
          <w:tcPr>
            <w:tcW w:type="dxa" w:w="12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CT-TEN-002</w:t>
            </w:r>
          </w:p>
        </w:tc>
        <w:tc>
          <w:tcPr>
            <w:tcW w:type="dxa" w:w="2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Tentar abrir projeto de B por URL</w:t>
            </w:r>
          </w:p>
        </w:tc>
        <w:tc>
          <w:tcPr>
            <w:tcW w:type="dxa" w:w="24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Usuário sem vínculo com B</w:t>
            </w:r>
          </w:p>
        </w:tc>
        <w:tc>
          <w:tcPr>
            <w:tcW w:type="dxa" w:w="30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Acesso negado sem revelar dados.</w:t>
            </w:r>
          </w:p>
        </w:tc>
      </w:tr>
      <w:tr>
        <w:trPr>
          <w:cantSplit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CT-TEN-003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Pesquisar requisito de B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Usuário ativo em A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Registro não retornado.</w:t>
            </w:r>
          </w:p>
        </w:tc>
      </w:tr>
      <w:tr>
        <w:trPr>
          <w:cantSplit/>
          <w:cantSplit/>
        </w:trPr>
        <w:tc>
          <w:tcPr>
            <w:tcW w:type="dxa" w:w="12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CT-TEN-004</w:t>
            </w:r>
          </w:p>
        </w:tc>
        <w:tc>
          <w:tcPr>
            <w:tcW w:type="dxa" w:w="2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Criar tarefa usando project_id de B</w:t>
            </w:r>
          </w:p>
        </w:tc>
        <w:tc>
          <w:tcPr>
            <w:tcW w:type="dxa" w:w="24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Usuário ativo em A</w:t>
            </w:r>
          </w:p>
        </w:tc>
        <w:tc>
          <w:tcPr>
            <w:tcW w:type="dxa" w:w="30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Validação rejeita relacionamento.</w:t>
            </w:r>
          </w:p>
        </w:tc>
      </w:tr>
      <w:tr>
        <w:trPr>
          <w:cantSplit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CT-TEN-005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Editar cliente de B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Usuário ativo em A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Acesso negado.</w:t>
            </w:r>
          </w:p>
        </w:tc>
      </w:tr>
      <w:tr>
        <w:trPr>
          <w:cantSplit/>
          <w:cantSplit/>
        </w:trPr>
        <w:tc>
          <w:tcPr>
            <w:tcW w:type="dxa" w:w="12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CT-TEN-006</w:t>
            </w:r>
          </w:p>
        </w:tc>
        <w:tc>
          <w:tcPr>
            <w:tcW w:type="dxa" w:w="2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Exportar documento de B</w:t>
            </w:r>
          </w:p>
        </w:tc>
        <w:tc>
          <w:tcPr>
            <w:tcW w:type="dxa" w:w="24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Usuário ativo em A</w:t>
            </w:r>
          </w:p>
        </w:tc>
        <w:tc>
          <w:tcPr>
            <w:tcW w:type="dxa" w:w="30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Exportação bloqueada.</w:t>
            </w:r>
          </w:p>
        </w:tc>
      </w:tr>
      <w:tr>
        <w:trPr>
          <w:cantSplit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CT-TEN-007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Baixar anexo de B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URL válida de arquivo de B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Download bloqueado e auditado.</w:t>
            </w:r>
          </w:p>
        </w:tc>
      </w:tr>
      <w:tr>
        <w:trPr>
          <w:cantSplit/>
          <w:cantSplit/>
        </w:trPr>
        <w:tc>
          <w:tcPr>
            <w:tcW w:type="dxa" w:w="12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CT-TEN-008</w:t>
            </w:r>
          </w:p>
        </w:tc>
        <w:tc>
          <w:tcPr>
            <w:tcW w:type="dxa" w:w="2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Consultar histórico de B</w:t>
            </w:r>
          </w:p>
        </w:tc>
        <w:tc>
          <w:tcPr>
            <w:tcW w:type="dxa" w:w="24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Usuário ativo em A</w:t>
            </w:r>
          </w:p>
        </w:tc>
        <w:tc>
          <w:tcPr>
            <w:tcW w:type="dxa" w:w="30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Nenhum evento de B visível.</w:t>
            </w:r>
          </w:p>
        </w:tc>
      </w:tr>
      <w:tr>
        <w:trPr>
          <w:cantSplit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CT-TEN-009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Usar código repetido em A e B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Código configurado como único por organização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Registros aceitos em tenants distintos.</w:t>
            </w:r>
          </w:p>
        </w:tc>
      </w:tr>
      <w:tr>
        <w:trPr>
          <w:cantSplit/>
          <w:cantSplit/>
        </w:trPr>
        <w:tc>
          <w:tcPr>
            <w:tcW w:type="dxa" w:w="12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CT-TEN-010</w:t>
            </w:r>
          </w:p>
        </w:tc>
        <w:tc>
          <w:tcPr>
            <w:tcW w:type="dxa" w:w="2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Repetir código dentro de A</w:t>
            </w:r>
          </w:p>
        </w:tc>
        <w:tc>
          <w:tcPr>
            <w:tcW w:type="dxa" w:w="24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Código existente em A</w:t>
            </w:r>
          </w:p>
        </w:tc>
        <w:tc>
          <w:tcPr>
            <w:tcW w:type="dxa" w:w="30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Validação de unicidade rejeita.</w:t>
            </w:r>
          </w:p>
        </w:tc>
      </w:tr>
      <w:tr>
        <w:trPr>
          <w:cantSplit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CT-TEN-011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Trocar de A para B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Usuário vinculado às duas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Contexto, menus e permissões atualizados.</w:t>
            </w:r>
          </w:p>
        </w:tc>
      </w:tr>
      <w:tr>
        <w:trPr>
          <w:cantSplit/>
          <w:cantSplit/>
        </w:trPr>
        <w:tc>
          <w:tcPr>
            <w:tcW w:type="dxa" w:w="12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CT-TEN-012</w:t>
            </w:r>
          </w:p>
        </w:tc>
        <w:tc>
          <w:tcPr>
            <w:tcW w:type="dxa" w:w="2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Trocar para organização não vinculada</w:t>
            </w:r>
          </w:p>
        </w:tc>
        <w:tc>
          <w:tcPr>
            <w:tcW w:type="dxa" w:w="24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Usuário vinculado somente a A</w:t>
            </w:r>
          </w:p>
        </w:tc>
        <w:tc>
          <w:tcPr>
            <w:tcW w:type="dxa" w:w="30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Operação bloqueada.</w:t>
            </w:r>
          </w:p>
        </w:tc>
      </w:tr>
      <w:tr>
        <w:trPr>
          <w:cantSplit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CT-TEN-013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Papel diferente em A e B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Gerente em A e leitor em B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Permissões aplicadas por vínculo.</w:t>
            </w:r>
          </w:p>
        </w:tc>
      </w:tr>
      <w:tr>
        <w:trPr>
          <w:cantSplit/>
          <w:cantSplit/>
        </w:trPr>
        <w:tc>
          <w:tcPr>
            <w:tcW w:type="dxa" w:w="12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CT-TEN-014</w:t>
            </w:r>
          </w:p>
        </w:tc>
        <w:tc>
          <w:tcPr>
            <w:tcW w:type="dxa" w:w="2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Suspender Organização B</w:t>
            </w:r>
          </w:p>
        </w:tc>
        <w:tc>
          <w:tcPr>
            <w:tcW w:type="dxa" w:w="24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B possui dados históricos</w:t>
            </w:r>
          </w:p>
        </w:tc>
        <w:tc>
          <w:tcPr>
            <w:tcW w:type="dxa" w:w="30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Acesso suspenso sem exclusão.</w:t>
            </w:r>
          </w:p>
        </w:tc>
      </w:tr>
      <w:tr>
        <w:trPr>
          <w:cantSplit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CT-TEN-015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Administrador de A consultar B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Admin comum de A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Acesso negado.</w:t>
            </w:r>
          </w:p>
        </w:tc>
      </w:tr>
      <w:tr>
        <w:trPr>
          <w:cantSplit/>
          <w:cantSplit/>
        </w:trPr>
        <w:tc>
          <w:tcPr>
            <w:tcW w:type="dxa" w:w="12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CT-MIG-001</w:t>
            </w:r>
          </w:p>
        </w:tc>
        <w:tc>
          <w:tcPr>
            <w:tcW w:type="dxa" w:w="2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Conferir contagens antes e depois</w:t>
            </w:r>
          </w:p>
        </w:tc>
        <w:tc>
          <w:tcPr>
            <w:tcW w:type="dxa" w:w="24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Backup e relatório prévio</w:t>
            </w:r>
          </w:p>
        </w:tc>
        <w:tc>
          <w:tcPr>
            <w:tcW w:type="dxa" w:w="30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Contagens preservadas.</w:t>
            </w:r>
          </w:p>
        </w:tc>
      </w:tr>
      <w:tr>
        <w:trPr>
          <w:cantSplit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CT-MIG-002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Detectar registros sem organization_id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Backfill concluído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Consulta retorna zero órfãos.</w:t>
            </w:r>
          </w:p>
        </w:tc>
      </w:tr>
      <w:tr>
        <w:trPr>
          <w:cantSplit/>
          <w:cantSplit/>
        </w:trPr>
        <w:tc>
          <w:tcPr>
            <w:tcW w:type="dxa" w:w="12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CT-MIG-003</w:t>
            </w:r>
          </w:p>
        </w:tc>
        <w:tc>
          <w:tcPr>
            <w:tcW w:type="dxa" w:w="2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Aplicar NOT NULL com órfão</w:t>
            </w:r>
          </w:p>
        </w:tc>
        <w:tc>
          <w:tcPr>
            <w:tcW w:type="dxa" w:w="24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Registro de teste inválido</w:t>
            </w:r>
          </w:p>
        </w:tc>
        <w:tc>
          <w:tcPr>
            <w:tcW w:type="dxa" w:w="30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Migration interrompida com segurança.</w:t>
            </w:r>
          </w:p>
        </w:tc>
      </w:tr>
      <w:tr>
        <w:trPr>
          <w:cantSplit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CT-MIG-004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Preservar client_id existente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Projeto legado com cliente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Vínculo mantido na mesma organização.</w:t>
            </w:r>
          </w:p>
        </w:tc>
      </w:tr>
      <w:tr>
        <w:trPr>
          <w:cantSplit/>
          <w:cantSplit/>
        </w:trPr>
        <w:tc>
          <w:tcPr>
            <w:tcW w:type="dxa" w:w="12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CT-MIG-005</w:t>
            </w:r>
          </w:p>
        </w:tc>
        <w:tc>
          <w:tcPr>
            <w:tcW w:type="dxa" w:w="2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Projeto sem demandante</w:t>
            </w:r>
          </w:p>
        </w:tc>
        <w:tc>
          <w:tcPr>
            <w:tcW w:type="dxa" w:w="24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client_id nulo</w:t>
            </w:r>
          </w:p>
        </w:tc>
        <w:tc>
          <w:tcPr>
            <w:tcW w:type="dxa" w:w="30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Projeto válido.</w:t>
            </w:r>
          </w:p>
        </w:tc>
      </w:tr>
      <w:tr>
        <w:trPr>
          <w:cantSplit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CT-CFG-001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Projeto interno completo sem finanças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Natureza interna, financeiro não aplicável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Combinação aceita.</w:t>
            </w:r>
          </w:p>
        </w:tc>
      </w:tr>
      <w:tr>
        <w:trPr>
          <w:cantSplit/>
          <w:cantSplit/>
        </w:trPr>
        <w:tc>
          <w:tcPr>
            <w:tcW w:type="dxa" w:w="12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CT-CFG-002</w:t>
            </w:r>
          </w:p>
        </w:tc>
        <w:tc>
          <w:tcPr>
            <w:tcW w:type="dxa" w:w="2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Projeto contratado simplificado</w:t>
            </w:r>
          </w:p>
        </w:tc>
        <w:tc>
          <w:tcPr>
            <w:tcW w:type="dxa" w:w="24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Natureza contratada, valor fixo</w:t>
            </w:r>
          </w:p>
        </w:tc>
        <w:tc>
          <w:tcPr>
            <w:tcW w:type="dxa" w:w="30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Combinação aceita.</w:t>
            </w:r>
          </w:p>
        </w:tc>
      </w:tr>
      <w:tr>
        <w:trPr>
          <w:cantSplit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CT-CFG-003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Alterar nível para completo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Projeto simplificado com dados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Novo nível e histórico registrados; explicação atualizada; nenhum módulo futuro é presumido como disponível.</w:t>
            </w:r>
          </w:p>
        </w:tc>
      </w:tr>
      <w:tr>
        <w:trPr>
          <w:cantSplit/>
          <w:cantSplit/>
        </w:trPr>
        <w:tc>
          <w:tcPr>
            <w:tcW w:type="dxa" w:w="12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CT-CFG-004</w:t>
            </w:r>
          </w:p>
        </w:tc>
        <w:tc>
          <w:tcPr>
            <w:tcW w:type="dxa" w:w="2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Reduzir nível de gestão</w:t>
            </w:r>
          </w:p>
        </w:tc>
        <w:tc>
          <w:tcPr>
            <w:tcW w:type="dxa" w:w="24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Projeto completo com artefatos</w:t>
            </w:r>
          </w:p>
        </w:tc>
        <w:tc>
          <w:tcPr>
            <w:tcW w:type="dxa" w:w="30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Dados e artefatos preservados; nível e histórico atualizados; nenhuma informação é apagada ou ocultada automaticamente.</w:t>
            </w:r>
          </w:p>
        </w:tc>
      </w:tr>
      <w:tr>
        <w:trPr>
          <w:cantSplit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CT-CFG-005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Enviar modalidade inválida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Valor fora do domínio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Validação rejeita.</w:t>
            </w:r>
          </w:p>
        </w:tc>
      </w:tr>
      <w:tr>
        <w:trPr>
          <w:cantSplit/>
          <w:cantSplit/>
        </w:trPr>
        <w:tc>
          <w:tcPr>
            <w:tcW w:type="dxa" w:w="12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CT-REG-001</w:t>
            </w:r>
          </w:p>
        </w:tc>
        <w:tc>
          <w:tcPr>
            <w:tcW w:type="dxa" w:w="2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Autenticar e abrir painel</w:t>
            </w:r>
          </w:p>
        </w:tc>
        <w:tc>
          <w:tcPr>
            <w:tcW w:type="dxa" w:w="24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Usuário migrado</w:t>
            </w:r>
          </w:p>
        </w:tc>
        <w:tc>
          <w:tcPr>
            <w:tcW w:type="dxa" w:w="30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Fluxo existente permanece funcional.</w:t>
            </w:r>
          </w:p>
        </w:tc>
      </w:tr>
      <w:tr>
        <w:trPr>
          <w:cantSplit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CT-REG-002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Cadastrar requisito e tarefa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Projeto da organização ativa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Registros criados no tenant correto.</w:t>
            </w:r>
          </w:p>
        </w:tc>
      </w:tr>
      <w:tr>
        <w:trPr>
          <w:cantSplit/>
          <w:cantSplit/>
        </w:trPr>
        <w:tc>
          <w:tcPr>
            <w:tcW w:type="dxa" w:w="12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CT-REG-003</w:t>
            </w:r>
          </w:p>
        </w:tc>
        <w:tc>
          <w:tcPr>
            <w:tcW w:type="dxa" w:w="2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Gerar DOCX e PDF</w:t>
            </w:r>
          </w:p>
        </w:tc>
        <w:tc>
          <w:tcPr>
            <w:tcW w:type="dxa" w:w="24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Projeto da organização ativa</w:t>
            </w:r>
          </w:p>
        </w:tc>
        <w:tc>
          <w:tcPr>
            <w:tcW w:type="dxa" w:w="30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Arquivos gerados e isolados.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5. Critérios de severidade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4100"/>
        <w:gridCol w:w="3660"/>
      </w:tblGrid>
      <w:tr>
        <w:trPr>
          <w:cantSplit/>
          <w:tblHeader w:val="true"/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Severidade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Exemplo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Tratamento</w:t>
            </w:r>
          </w:p>
        </w:tc>
      </w:tr>
      <w:tr>
        <w:trPr>
          <w:cantSplit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Crítica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Acesso, alteração ou download de dados de outra organização.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Bloqueia a homologação e a implantação.</w:t>
            </w:r>
          </w:p>
        </w:tc>
      </w:tr>
      <w:tr>
        <w:trPr>
          <w:cantSplit/>
          <w:cantSplit/>
        </w:trPr>
        <w:tc>
          <w:tcPr>
            <w:tcW w:type="dxa" w:w="16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Alta</w:t>
            </w:r>
          </w:p>
        </w:tc>
        <w:tc>
          <w:tcPr>
            <w:tcW w:type="dxa" w:w="41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Papel incorreto, perda de dados ou migration inconsistente.</w:t>
            </w:r>
          </w:p>
        </w:tc>
        <w:tc>
          <w:tcPr>
            <w:tcW w:type="dxa" w:w="36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Bloqueia a implantação até correção e reteste.</w:t>
            </w:r>
          </w:p>
        </w:tc>
      </w:tr>
      <w:tr>
        <w:trPr>
          <w:cantSplit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Média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Mensagem inadequada, falha de auditoria não sensível ou comportamento não destrutivo.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Corrigir antes da release ou justificar formalmente.</w:t>
            </w:r>
          </w:p>
        </w:tc>
      </w:tr>
      <w:tr>
        <w:trPr>
          <w:cantSplit/>
          <w:cantSplit/>
        </w:trPr>
        <w:tc>
          <w:tcPr>
            <w:tcW w:type="dxa" w:w="16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Baixa</w:t>
            </w:r>
          </w:p>
        </w:tc>
        <w:tc>
          <w:tcPr>
            <w:tcW w:type="dxa" w:w="41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Ajuste visual sem impacto funcional ou de segurança.</w:t>
            </w:r>
          </w:p>
        </w:tc>
        <w:tc>
          <w:tcPr>
            <w:tcW w:type="dxa" w:w="36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Registrar no backlog com prioridade definida.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6. Critério de aprovação</w:t>
      </w:r>
    </w:p>
    <w:p>
      <w:pPr>
        <w:spacing w:before="120" w:after="180" w:line="276" w:lineRule="auto"/>
        <w:ind w:left="173" w:right="173"/>
        <w:shd w:fill="EEF4F5"/>
        <w:pBdr>
          <w:left w:val="single" w:sz="22" w:space="6" w:color="C44B4B"/>
        </w:pBdr>
      </w:pPr>
      <w:r>
        <w:rPr>
          <w:rFonts w:ascii="Liberation Sans" w:hAnsi="Liberation Sans" w:eastAsia="Liberation Sans" w:cs="Liberation Sans"/>
          <w:b/>
          <w:color w:val="C44B4B"/>
        </w:rPr>
        <w:t xml:space="preserve">Portão de qualidade: </w:t>
      </w:r>
      <w:r>
        <w:rPr>
          <w:rFonts w:ascii="Liberation Sans" w:hAnsi="Liberation Sans" w:eastAsia="Liberation Sans" w:cs="Liberation Sans"/>
          <w:color w:val="24313A"/>
        </w:rPr>
        <w:t>Todos os casos críticos de isolamento e migração devem ser aprovados. Não poderá existir defeito aberto que permita acesso cruzado, perda de dados ou vínculo entre organizações.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 w:cs="Liberation Sans"/>
        <w:color w:val="687780"/>
        <w:sz w:val="17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  <w:pBdr>
        <w:bottom w:val="single" w:sz="6" w:space="5" w:color="D7E3E5"/>
      </w:pBdr>
    </w:pPr>
    <w:r>
      <w:rPr>
        <w:rFonts w:ascii="Liberation Sans" w:hAnsi="Liberation Sans" w:eastAsia="Liberation Sans" w:cs="Liberation Sans"/>
        <w:b/>
        <w:color w:val="123B4A"/>
        <w:sz w:val="18"/>
      </w:rPr>
      <w:t>SGP</w:t>
    </w:r>
    <w:r>
      <w:rPr>
        <w:rFonts w:ascii="Liberation Sans" w:hAnsi="Liberation Sans" w:eastAsia="Liberation Sans" w:cs="Liberation Sans"/>
        <w:color w:val="687780"/>
        <w:sz w:val="17"/>
      </w:rPr>
      <w:t xml:space="preserve">  |  TEST-BL-SGP-002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suff w:val="tab"/>
      <w:numFmt w:val="decimal"/>
      <w:pStyle w:val="ListNumber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8">
    <w:nsid w:val="FFFFFF89"/>
    <w:multiLevelType w:val="singleLevel"/>
    <w:tmpl w:val="29761A62"/>
    <w:lvl w:ilvl="0">
      <w:start w:val="1"/>
      <w:suff w:val="tab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  <w:rPr>
        <w:rFonts w:ascii="Liberation Sans" w:hAnsi="Liberation Sans" w:hint="default" w:cs="Liberation San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iberation Sans" w:hAnsi="Liberation Sans" w:eastAsia="Liberation Sans" w:cs="Liberation Sans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1D5D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123B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2E8B7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 w:cs="Liberation Sans"/>
      <w:b/>
      <w:color w:val="123B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Liberation Sans" w:hAnsi="Liberation Sans" w:eastAsia="Liberation Sans" w:cs="Liberation Sans"/>
      <w:b w:val="0"/>
      <w:i/>
      <w:iCs/>
      <w:color w:val="6877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Liberation Sans" w:hAnsi="Liberation Sans" w:eastAsia="Liberation Sans" w:cs="Liberation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Liberation Sans" w:hAnsi="Liberation Sans" w:eastAsia="Liberation Sans" w:cs="Liberation San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14 - Plano e Casos de Teste de Isolamento Multiempresa</dc:title>
  <dc:subject>Documentação do SGP</dc:subject>
  <dc:creator>Liliane Freitas</dc:creator>
  <cp:keywords>SGP, baseline, requisitos, rastreabilidade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