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CAT-BL-SGP-002</w:t>
      </w:r>
    </w:p>
    <w:p>
      <w:pPr>
        <w:pStyle w:val="Title"/>
        <w:keepNext/>
      </w:pPr>
      <w:r>
        <w:t>Catálogo da Baseline BL-SGP-002</w:t>
      </w:r>
    </w:p>
    <w:p>
      <w:pPr>
        <w:pStyle w:val="Subtitle"/>
      </w:pPr>
      <w:r>
        <w:t>Composição oficial e recorte aprovado para implementação.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CAT-BL-SGP-002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Identificação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Baseline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BL-SGP-002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Nome</w:t>
            </w:r>
          </w:p>
        </w:tc>
        <w:tc>
          <w:tcPr>
            <w:tcW w:type="dxa" w:w="68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Fundação SaaS Multiempresa e Configuração Adaptativa de Projetos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Situação documental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Aprovada para implementação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Release de software</w:t>
            </w:r>
          </w:p>
        </w:tc>
        <w:tc>
          <w:tcPr>
            <w:tcW w:type="dxa" w:w="68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Ainda não implementada nem homologada</w:t>
            </w:r>
          </w:p>
        </w:tc>
      </w:tr>
      <w:tr>
        <w:trPr>
          <w:cantSplit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Baseline anterior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BL-SGP-001</w:t>
            </w:r>
          </w:p>
        </w:tc>
      </w:tr>
      <w:tr>
        <w:trPr>
          <w:cantSplit/>
          <w:cantSplit/>
        </w:trPr>
        <w:tc>
          <w:tcPr>
            <w:tcW w:type="dxa" w:w="2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Mudanças relacionadas</w:t>
            </w:r>
          </w:p>
        </w:tc>
        <w:tc>
          <w:tcPr>
            <w:tcW w:type="dxa" w:w="68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RM-001, RM-002 e RM-003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Itens de configuração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5200"/>
        <w:gridCol w:w="1100"/>
        <w:gridCol w:w="2360"/>
      </w:tblGrid>
      <w:tr>
        <w:trPr>
          <w:cantSplit/>
          <w:tblHeader w:val="true"/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00</w:t>
            </w:r>
          </w:p>
        </w:tc>
        <w:tc>
          <w:tcPr>
            <w:tcW w:type="dxa" w:w="520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Termo de Aprovação da Baseline 2.0</w:t>
            </w:r>
          </w:p>
        </w:tc>
        <w:tc>
          <w:tcPr>
            <w:tcW w:type="dxa" w:w="110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01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Documento de Visão - Baseline 2.0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02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Regras de Negócio - Baseline 2.0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03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Especificação Funcional - Baseline 2.0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04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Modelo Conceitual do Negócio - Baseline 2.0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05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Plano da Entrega - BL-SGP-002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06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Casos de Uso - Baseline 2.0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07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Requisitos Funcionais - Baseline 2.0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08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Requisitos Não Funcionais - Baseline 2.0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09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Matriz de Rastreabilidade - Baseline 2.0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10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DER Físico Delta - Baseline 2.0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Aprovado, sujeito à conferência do código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11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Dicionário de Dados Delta - Baseline 2.0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Aprovado, sujeito à conferência do código</w:t>
            </w:r>
          </w:p>
        </w:tc>
      </w:tr>
      <w:tr>
        <w:trPr>
          <w:cantSplit/>
          <w:cantSplit/>
        </w:trPr>
        <w:tc>
          <w:tcPr>
            <w:tcW w:type="dxa" w:w="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12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Registro de Evolução e Controle de Mudanças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13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Diagnóstico e Plano de Transição Multiempresa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14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Plano e Casos de Teste de Isolamento Multiempresa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  <w:tr>
        <w:trPr>
          <w:cantSplit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15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Catálogo da Baseline BL-SGP-002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Aprovado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Requisitos incluídos na implementação</w:t>
      </w:r>
    </w:p>
    <w:p>
      <w:pPr>
        <w:pStyle w:val="ListBullet"/>
      </w:pPr>
      <w:r>
        <w:t>RF061 a RF086, observando que RF080 representa apenas preparação arquitetural e não cobrança.</w:t>
      </w:r>
    </w:p>
    <w:p>
      <w:pPr>
        <w:pStyle w:val="ListBullet"/>
      </w:pPr>
      <w:r>
        <w:t>RN056 a RN072.</w:t>
      </w:r>
    </w:p>
    <w:p>
      <w:pPr>
        <w:pStyle w:val="ListBullet"/>
      </w:pPr>
      <w:r>
        <w:t>RNF051 a RNF061, RNF065 e RNF066.</w:t>
      </w:r>
    </w:p>
    <w:p>
      <w:pPr>
        <w:pStyle w:val="ListBullet"/>
      </w:pPr>
      <w:r>
        <w:t>UC017 a UC028.</w:t>
      </w:r>
    </w:p>
    <w:p>
      <w:pPr>
        <w:pStyle w:val="ListBullet"/>
      </w:pPr>
      <w:r>
        <w:t>CT-TEN-001 a CT-TEN-015, CT-MIG-001 a CT-MIG-005, CT-CFG-001 a CT-CFG-005 e CT-REG-001 a CT-REG-003.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Capacidades aprovadas para evolução futura</w:t>
      </w:r>
    </w:p>
    <w:p>
      <w:pPr>
        <w:pStyle w:val="ListBullet"/>
      </w:pPr>
      <w:r>
        <w:t>RF087 a RF100 e RN073 a RN080: gestão completa de baselines, mudanças, contratos e impacto.</w:t>
      </w:r>
    </w:p>
    <w:p>
      <w:pPr>
        <w:pStyle w:val="ListBullet"/>
      </w:pPr>
      <w:r>
        <w:t>RF101 a RF116, RN081 a RN090 e RNF062 a RNF064: assistência inteligente contextual.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5. Condições de congelamento</w:t>
      </w:r>
    </w:p>
    <w:p>
      <w:pPr>
        <w:pStyle w:val="ListBullet"/>
      </w:pPr>
      <w:r>
        <w:t>A revisão documental 2.1 da baseline entra em vigor em 27/07/2026 e substitui o pacote de 26/07/2026.</w:t>
      </w:r>
    </w:p>
    <w:p>
      <w:pPr>
        <w:pStyle w:val="ListBullet"/>
      </w:pPr>
      <w:r>
        <w:t>Novas necessidades serão registradas como mudança posterior.</w:t>
      </w:r>
    </w:p>
    <w:p>
      <w:pPr>
        <w:pStyle w:val="ListBullet"/>
      </w:pPr>
      <w:r>
        <w:t>A release só será relacionada à BL-SGP-002 depois da implementação e homologação.</w:t>
      </w:r>
    </w:p>
    <w:p>
      <w:pPr>
        <w:pStyle w:val="ListBullet"/>
      </w:pPr>
      <w:r>
        <w:t>O manifesto SHA-256 da pasta registra a integridade dos arquivos.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6. Aprovação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2700"/>
        <w:gridCol w:w="3260"/>
        <w:gridCol w:w="1400"/>
      </w:tblGrid>
      <w:tr>
        <w:trPr>
          <w:cantSplit/>
          <w:tblHeader w:val="true"/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Data</w:t>
            </w:r>
          </w:p>
        </w:tc>
      </w:tr>
      <w:tr>
        <w:trPr>
          <w:cantSplit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Responsável pelo produto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Liliane Freitas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Aprovada para orientar a implementação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26/07/2026</w:t>
            </w:r>
          </w:p>
        </w:tc>
      </w:tr>
    </w:tbl>
    <w:p>
      <w:pPr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CAT-BL-SGP-002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15 - Catálogo da Baseline BL-SGP-002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