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DOCUMENTO DE ENCERRAMENTO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144D52"/>
          <w:sz w:val="46"/>
        </w:rPr>
        <w:t>Termo de Homologação e Encerramento</w:t>
      </w:r>
    </w:p>
    <w:p>
      <w:pPr>
        <w:spacing w:after="360"/>
      </w:pPr>
      <w:r>
        <w:rPr>
          <w:rFonts w:ascii="Calibri" w:hAnsi="Calibri"/>
          <w:b w:val="0"/>
          <w:i/>
          <w:color w:val="5C6874"/>
          <w:sz w:val="28"/>
        </w:rPr>
        <w:t>BL-SGP-003 · Engenharia Documental Adaptativa · Release v3.0.0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C9D3D8"/>
          <w:left w:val="single" w:sz="6" w:color="C9D3D8"/>
          <w:bottom w:val="single" w:sz="6" w:color="C9D3D8"/>
          <w:right w:val="single" w:sz="6" w:color="C9D3D8"/>
          <w:insideH w:val="single" w:sz="6" w:color="C9D3D8"/>
          <w:insideV w:val="single" w:sz="6" w:color="C9D3D8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Sistema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SGP · Sistema de Gestão de Projetos de Software</w:t>
            </w:r>
          </w:p>
        </w:tc>
      </w:tr>
      <w:tr>
        <w:tc>
          <w:tcPr>
            <w:tcW w:type="dxa" w:w="23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Identificador</w:t>
            </w:r>
          </w:p>
        </w:tc>
        <w:tc>
          <w:tcPr>
            <w:tcW w:type="dxa" w:w="706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ENC-SGP-003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Versão do documento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Revisão 1.0 do encerramento</w:t>
            </w:r>
          </w:p>
        </w:tc>
      </w:tr>
      <w:tr>
        <w:tc>
          <w:tcPr>
            <w:tcW w:type="dxa" w:w="23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Situação</w:t>
            </w:r>
          </w:p>
        </w:tc>
        <w:tc>
          <w:tcPr>
            <w:tcW w:type="dxa" w:w="70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Homologação funcional aprovada; publicação técnica pendente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Data</w:t>
            </w:r>
          </w:p>
        </w:tc>
        <w:tc>
          <w:tcPr>
            <w:tcW w:type="dxa" w:w="706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30/08/2026</w:t>
            </w:r>
          </w:p>
        </w:tc>
      </w:tr>
      <w:tr>
        <w:tc>
          <w:tcPr>
            <w:tcW w:type="dxa" w:w="23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Responsável</w:t>
            </w:r>
          </w:p>
        </w:tc>
        <w:tc>
          <w:tcPr>
            <w:tcW w:type="dxa" w:w="70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Liliane de Freitas Terra Vieira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0" w:color="E8F5EE"/>
          <w:left w:val="single" w:sz="0" w:color="E8F5EE"/>
          <w:bottom w:val="single" w:sz="0" w:color="E8F5EE"/>
          <w:right w:val="single" w:sz="0" w:color="E8F5EE"/>
          <w:insideH w:val="single" w:sz="0" w:color="E8F5EE"/>
          <w:insideV w:val="single" w:sz="0" w:color="E8F5E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5EE"/>
          </w:tcPr>
          <w:p>
            <w:pPr>
              <w:spacing w:after="120" w:line="264" w:lineRule="auto"/>
            </w:pPr>
            <w:r>
              <w:rPr>
                <w:rFonts w:ascii="Calibri" w:hAnsi="Calibri"/>
                <w:b/>
                <w:i w:val="0"/>
                <w:color w:val="11666D"/>
                <w:sz w:val="22"/>
              </w:rPr>
              <w:t>DECISÃO: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os percursos P01 a P09 estão aprovados. A release v3.0.0 está autorizada a seguir para validação final, merge na main e deploy. O congelamento técnico será efetivado somente após o registro do commit implantado, da tag e das evidências de produção.</w:t>
            </w:r>
          </w:p>
        </w:tc>
      </w:tr>
    </w:tbl>
    <w:p>
      <w:pPr>
        <w:pStyle w:val="Heading1"/>
        <w:keepNext/>
      </w:pPr>
      <w:r>
        <w:t>1. Finalidade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Este termo consolida a homologação funcional da BL-SGP-003, registra a candidata final v3.0.0 e define as condições objetivas para a promoção à branch main, a publicação no Laravel Cloud e o congelamento da baseline.</w:t>
      </w:r>
    </w:p>
    <w:p>
      <w:pPr>
        <w:pStyle w:val="Heading1"/>
        <w:keepNext/>
      </w:pPr>
      <w:r>
        <w:t>2. Resultado consolidado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C9D3D8"/>
          <w:left w:val="single" w:sz="6" w:color="C9D3D8"/>
          <w:bottom w:val="single" w:sz="6" w:color="C9D3D8"/>
          <w:right w:val="single" w:sz="6" w:color="C9D3D8"/>
          <w:insideH w:val="single" w:sz="6" w:color="C9D3D8"/>
          <w:insideV w:val="single" w:sz="6" w:color="C9D3D8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1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Suíte automatizada</w:t>
            </w:r>
          </w:p>
        </w:tc>
        <w:tc>
          <w:tcPr>
            <w:tcW w:type="dxa" w:w="62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367 testes aprovados e 1.473 asserções</w:t>
            </w:r>
          </w:p>
        </w:tc>
      </w:tr>
      <w:tr>
        <w:tc>
          <w:tcPr>
            <w:tcW w:type="dxa" w:w="31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Homologação funcional</w:t>
            </w:r>
          </w:p>
        </w:tc>
        <w:tc>
          <w:tcPr>
            <w:tcW w:type="dxa" w:w="62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P01 a P09 aprovados pela responsável do produto</w:t>
            </w:r>
          </w:p>
        </w:tc>
      </w:tr>
      <w:tr>
        <w:tc>
          <w:tcPr>
            <w:tcW w:type="dxa" w:w="31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Comunicação</w:t>
            </w:r>
          </w:p>
        </w:tc>
        <w:tc>
          <w:tcPr>
            <w:tcW w:type="dxa" w:w="62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SMTP real e recebimento confirmados</w:t>
            </w:r>
          </w:p>
        </w:tc>
      </w:tr>
      <w:tr>
        <w:tc>
          <w:tcPr>
            <w:tcW w:type="dxa" w:w="31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Recuperação de acesso</w:t>
            </w:r>
          </w:p>
        </w:tc>
        <w:tc>
          <w:tcPr>
            <w:tcW w:type="dxa" w:w="62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Link público, senha temporária e troca obrigatória aprovados</w:t>
            </w:r>
          </w:p>
        </w:tc>
      </w:tr>
      <w:tr>
        <w:tc>
          <w:tcPr>
            <w:tcW w:type="dxa" w:w="31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Auditoria</w:t>
            </w:r>
          </w:p>
        </w:tc>
        <w:tc>
          <w:tcPr>
            <w:tcW w:type="dxa" w:w="62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Trilha global e trilha organizacional aprovadas</w:t>
            </w:r>
          </w:p>
        </w:tc>
      </w:tr>
      <w:tr>
        <w:tc>
          <w:tcPr>
            <w:tcW w:type="dxa" w:w="31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Falha impeditiva conhecida</w:t>
            </w:r>
          </w:p>
        </w:tc>
        <w:tc>
          <w:tcPr>
            <w:tcW w:type="dxa" w:w="62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Nenhuma informada no encerramento funcional</w:t>
            </w:r>
          </w:p>
        </w:tc>
      </w:tr>
    </w:tbl>
    <w:p>
      <w:pPr>
        <w:pStyle w:val="Heading1"/>
        <w:keepNext/>
      </w:pPr>
      <w:r>
        <w:t>3. Cobertura por pacote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C9D3D8"/>
          <w:left w:val="single" w:sz="6" w:color="C9D3D8"/>
          <w:bottom w:val="single" w:sz="6" w:color="C9D3D8"/>
          <w:right w:val="single" w:sz="6" w:color="C9D3D8"/>
          <w:insideH w:val="single" w:sz="6" w:color="C9D3D8"/>
          <w:insideV w:val="single" w:sz="6" w:color="C9D3D8"/>
        </w:tblBorders>
      </w:tblPr>
      <w:tblGrid>
        <w:gridCol w:w="1200"/>
        <w:gridCol w:w="6460"/>
        <w:gridCol w:w="170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Pacote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Escopo homologado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P01</w:t>
            </w:r>
          </w:p>
        </w:tc>
        <w:tc>
          <w:tcPr>
            <w:tcW w:type="dxa" w:w="64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Iniciativas e ciclo de vida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Aprovado</w:t>
            </w:r>
          </w:p>
        </w:tc>
      </w:tr>
      <w:tr>
        <w:tc>
          <w:tcPr>
            <w:tcW w:type="dxa" w:w="12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P02</w:t>
            </w:r>
          </w:p>
        </w:tc>
        <w:tc>
          <w:tcPr>
            <w:tcW w:type="dxa" w:w="64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Aplicabilidade e governança proporcional</w:t>
            </w:r>
          </w:p>
        </w:tc>
        <w:tc>
          <w:tcPr>
            <w:tcW w:type="dxa" w:w="17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Aprovado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P03</w:t>
            </w:r>
          </w:p>
        </w:tc>
        <w:tc>
          <w:tcPr>
            <w:tcW w:type="dxa" w:w="64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Jornada comercial opcional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Aprovado</w:t>
            </w:r>
          </w:p>
        </w:tc>
      </w:tr>
      <w:tr>
        <w:tc>
          <w:tcPr>
            <w:tcW w:type="dxa" w:w="12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P04</w:t>
            </w:r>
          </w:p>
        </w:tc>
        <w:tc>
          <w:tcPr>
            <w:tcW w:type="dxa" w:w="64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Artefatos, revisões e publicações</w:t>
            </w:r>
          </w:p>
        </w:tc>
        <w:tc>
          <w:tcPr>
            <w:tcW w:type="dxa" w:w="17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Aprovado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P05</w:t>
            </w:r>
          </w:p>
        </w:tc>
        <w:tc>
          <w:tcPr>
            <w:tcW w:type="dxa" w:w="64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Conversão e incorporação ao projeto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Aprovado</w:t>
            </w:r>
          </w:p>
        </w:tc>
      </w:tr>
      <w:tr>
        <w:tc>
          <w:tcPr>
            <w:tcW w:type="dxa" w:w="12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P06</w:t>
            </w:r>
          </w:p>
        </w:tc>
        <w:tc>
          <w:tcPr>
            <w:tcW w:type="dxa" w:w="64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Contratos e baselines de projeto</w:t>
            </w:r>
          </w:p>
        </w:tc>
        <w:tc>
          <w:tcPr>
            <w:tcW w:type="dxa" w:w="17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Aprovado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P07</w:t>
            </w:r>
          </w:p>
        </w:tc>
        <w:tc>
          <w:tcPr>
            <w:tcW w:type="dxa" w:w="64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Mudanças e análise de impacto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Aprovado</w:t>
            </w:r>
          </w:p>
        </w:tc>
      </w:tr>
      <w:tr>
        <w:tc>
          <w:tcPr>
            <w:tcW w:type="dxa" w:w="12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P08</w:t>
            </w:r>
          </w:p>
        </w:tc>
        <w:tc>
          <w:tcPr>
            <w:tcW w:type="dxa" w:w="64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Testes, evidências e rastreabilidade</w:t>
            </w:r>
          </w:p>
        </w:tc>
        <w:tc>
          <w:tcPr>
            <w:tcW w:type="dxa" w:w="17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Aprovado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P09</w:t>
            </w:r>
          </w:p>
        </w:tc>
        <w:tc>
          <w:tcPr>
            <w:tcW w:type="dxa" w:w="64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SMTP, recuperação de acesso e auditoria global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Aprovado</w:t>
            </w:r>
          </w:p>
        </w:tc>
      </w:tr>
      <w:tr>
        <w:tc>
          <w:tcPr>
            <w:tcW w:type="dxa" w:w="12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P10</w:t>
            </w:r>
          </w:p>
        </w:tc>
        <w:tc>
          <w:tcPr>
            <w:tcW w:type="dxa" w:w="64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Release, publicação e congelamento</w:t>
            </w:r>
          </w:p>
        </w:tc>
        <w:tc>
          <w:tcPr>
            <w:tcW w:type="dxa" w:w="17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Em execução</w:t>
            </w:r>
          </w:p>
        </w:tc>
      </w:tr>
    </w:tbl>
    <w:p>
      <w:pPr>
        <w:pStyle w:val="Heading1"/>
        <w:keepNext/>
      </w:pPr>
      <w:r>
        <w:t>4. Condições para o selo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C9D3D8"/>
          <w:left w:val="single" w:sz="6" w:color="C9D3D8"/>
          <w:bottom w:val="single" w:sz="6" w:color="C9D3D8"/>
          <w:right w:val="single" w:sz="6" w:color="C9D3D8"/>
          <w:insideH w:val="single" w:sz="6" w:color="C9D3D8"/>
          <w:insideV w:val="single" w:sz="6" w:color="C9D3D8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84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Aplicar a candidata P10 e repetir a suíte integral, o build e git diff --check.</w:t>
            </w:r>
          </w:p>
        </w:tc>
      </w:tr>
      <w:tr>
        <w:tc>
          <w:tcPr>
            <w:tcW w:type="dxa" w:w="9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84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Promover por pull request aprovado e registrar o SHA resultante na main.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84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Executar deploy e migrations no Laravel Cloud sem erro impeditivo.</w:t>
            </w:r>
          </w:p>
        </w:tc>
      </w:tr>
      <w:tr>
        <w:tc>
          <w:tcPr>
            <w:tcW w:type="dxa" w:w="9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84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Validar Managed Queue ou worker, SMTP, persistência privada e logs sanitizados.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84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Executar smoke test dos fluxos críticos no ambiente publicado.</w:t>
            </w:r>
          </w:p>
        </w:tc>
      </w:tr>
      <w:tr>
        <w:tc>
          <w:tcPr>
            <w:tcW w:type="dxa" w:w="9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8460"/>
            <w:shd w:fill="F7FA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Criar a tag v3.0.0 somente no commit efetivamente implantado.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846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Regenerar o manifesto SHA-256 e completar este termo com as evidências reais.</w:t>
            </w:r>
          </w:p>
        </w:tc>
      </w:tr>
    </w:tbl>
    <w:p>
      <w:pPr>
        <w:pStyle w:val="Heading1"/>
        <w:keepNext/>
      </w:pPr>
      <w:r>
        <w:t>5. Campos de publicação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C9D3D8"/>
          <w:left w:val="single" w:sz="6" w:color="C9D3D8"/>
          <w:bottom w:val="single" w:sz="6" w:color="C9D3D8"/>
          <w:right w:val="single" w:sz="6" w:color="C9D3D8"/>
          <w:insideH w:val="single" w:sz="6" w:color="C9D3D8"/>
          <w:insideV w:val="single" w:sz="6" w:color="C9D3D8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4D5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Registro final</w:t>
            </w:r>
          </w:p>
        </w:tc>
      </w:tr>
      <w:tr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Commit da main</w:t>
            </w:r>
          </w:p>
        </w:tc>
        <w:tc>
          <w:tcPr>
            <w:tcW w:type="dxa" w:w="606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PENDENTE</w:t>
            </w:r>
          </w:p>
        </w:tc>
      </w:tr>
      <w:tr>
        <w:tc>
          <w:tcPr>
            <w:tcW w:type="dxa" w:w="33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Tag</w:t>
            </w:r>
          </w:p>
        </w:tc>
        <w:tc>
          <w:tcPr>
            <w:tcW w:type="dxa" w:w="606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PENDENTE</w:t>
            </w:r>
          </w:p>
        </w:tc>
      </w:tr>
      <w:tr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Data e hora do deploy</w:t>
            </w:r>
          </w:p>
        </w:tc>
        <w:tc>
          <w:tcPr>
            <w:tcW w:type="dxa" w:w="606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PENDENTE</w:t>
            </w:r>
          </w:p>
        </w:tc>
      </w:tr>
      <w:tr>
        <w:tc>
          <w:tcPr>
            <w:tcW w:type="dxa" w:w="33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Ambiente e URL</w:t>
            </w:r>
          </w:p>
        </w:tc>
        <w:tc>
          <w:tcPr>
            <w:tcW w:type="dxa" w:w="606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PENDENTE</w:t>
            </w:r>
          </w:p>
        </w:tc>
      </w:tr>
      <w:tr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Migrations</w:t>
            </w:r>
          </w:p>
        </w:tc>
        <w:tc>
          <w:tcPr>
            <w:tcW w:type="dxa" w:w="606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PENDENTE</w:t>
            </w:r>
          </w:p>
        </w:tc>
      </w:tr>
      <w:tr>
        <w:tc>
          <w:tcPr>
            <w:tcW w:type="dxa" w:w="33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Fila</w:t>
            </w:r>
          </w:p>
        </w:tc>
        <w:tc>
          <w:tcPr>
            <w:tcW w:type="dxa" w:w="606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PENDENTE</w:t>
            </w:r>
          </w:p>
        </w:tc>
      </w:tr>
      <w:tr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Persistência</w:t>
            </w:r>
          </w:p>
        </w:tc>
        <w:tc>
          <w:tcPr>
            <w:tcW w:type="dxa" w:w="606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PENDENTE</w:t>
            </w:r>
          </w:p>
        </w:tc>
      </w:tr>
      <w:tr>
        <w:tc>
          <w:tcPr>
            <w:tcW w:type="dxa" w:w="330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Logs</w:t>
            </w:r>
          </w:p>
        </w:tc>
        <w:tc>
          <w:tcPr>
            <w:tcW w:type="dxa" w:w="6060"/>
            <w:shd w:fill="F7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PENDENTE</w:t>
            </w:r>
          </w:p>
        </w:tc>
      </w:tr>
      <w:tr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Decisão final</w:t>
            </w:r>
          </w:p>
        </w:tc>
        <w:tc>
          <w:tcPr>
            <w:tcW w:type="dxa" w:w="606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PENDENTE</w:t>
            </w:r>
          </w:p>
        </w:tc>
      </w:tr>
    </w:tbl>
    <w:p>
      <w:pPr>
        <w:pStyle w:val="Heading1"/>
        <w:keepNext/>
      </w:pPr>
      <w:r>
        <w:t>6. Limites e evolução futura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identidade visual atual foi preservada na v3.0.0. A reformulação visual e as decisões decorrentes da preparação comercial ficam registradas como matéria para análise da BL-SGP-004, sem compromisso automático de implementação.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0" w:color="E8F1F2"/>
          <w:left w:val="single" w:sz="0" w:color="E8F1F2"/>
          <w:bottom w:val="single" w:sz="0" w:color="E8F1F2"/>
          <w:right w:val="single" w:sz="0" w:color="E8F1F2"/>
          <w:insideH w:val="single" w:sz="0" w:color="E8F1F2"/>
          <w:insideV w:val="single" w:sz="0" w:color="E8F1F2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2"/>
          </w:tcPr>
          <w:p>
            <w:pPr>
              <w:spacing w:after="12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O SGP pode apoiar a operacionalização de processos, a rastreabilidade e a produção de evidências úteis em uma jornada de melhoria e avaliação MPS.BR. O uso da ferramenta não certifica a organização nem atribui nível de maturidade.</w:t>
            </w:r>
          </w:p>
        </w:tc>
      </w:tr>
    </w:tbl>
    <w:p>
      <w:pPr>
        <w:pStyle w:val="Heading1"/>
        <w:keepNext/>
      </w:pPr>
      <w:r>
        <w:t>7. Regra de congelamento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Depois do selo final, a tag v3.0.0 não poderá ser movida. Correções posteriores exigem novo commit e nova versão. Mudança material de requisito, regra, arquitetura ou escopo exige registro de mudança e baseline de destino. Os artefatos históricos permanecem preservados.</w:t>
      </w:r>
    </w:p>
    <w:p>
      <w:pPr>
        <w:pStyle w:val="Heading1"/>
        <w:keepNext/>
      </w:pPr>
      <w:r>
        <w:t>8. Aprovação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Aprovação funcional registrada em 30/08/2026.</w:t>
      </w:r>
    </w:p>
    <w:p/>
    <w:p>
      <w:r>
        <w:rPr>
          <w:rFonts w:ascii="Calibri" w:hAnsi="Calibri"/>
          <w:b w:val="0"/>
          <w:i w:val="0"/>
          <w:color w:val="5C6874"/>
          <w:sz w:val="22"/>
        </w:rPr>
        <w:t>____________________________________________</w:t>
      </w:r>
    </w:p>
    <w:p>
      <w:r>
        <w:rPr>
          <w:rFonts w:ascii="Calibri" w:hAnsi="Calibri"/>
          <w:b/>
          <w:i w:val="0"/>
          <w:color w:val="144D52"/>
          <w:sz w:val="22"/>
        </w:rPr>
        <w:t>Liliane de Freitas Terra Vieira</w:t>
      </w:r>
    </w:p>
    <w:p>
      <w:r>
        <w:rPr>
          <w:rFonts w:ascii="Calibri" w:hAnsi="Calibri"/>
          <w:b w:val="0"/>
          <w:i/>
          <w:color w:val="5C6874"/>
          <w:sz w:val="22"/>
        </w:rPr>
        <w:t>Responsável pelo produto e pela homologação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0" w:color="F2F4F7"/>
          <w:left w:val="single" w:sz="0" w:color="F2F4F7"/>
          <w:bottom w:val="single" w:sz="0" w:color="F2F4F7"/>
          <w:right w:val="single" w:sz="0" w:color="F2F4F7"/>
          <w:insideH w:val="single" w:sz="0" w:color="F2F4F7"/>
          <w:insideV w:val="single" w:sz="0" w:color="F2F4F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12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Estrutura conectada. Projetos organizados, decisões rastreáveis e software em evolução.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874"/>
        <w:sz w:val="17"/>
      </w:rPr>
      <w:t xml:space="preserve">BL-SGP-003  |  Revisão 2.1  |  Página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144D52"/>
        <w:sz w:val="18"/>
      </w:rPr>
      <w:t>SGP  |  ENC-SGP-003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166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166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44D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44D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C687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