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06</w:t>
      </w:r>
    </w:p>
    <w:p>
      <w:pPr>
        <w:pStyle w:val="Title"/>
      </w:pPr>
      <w:r>
        <w:t>Casos de Uso</w:t>
      </w:r>
    </w:p>
    <w:p>
      <w:pPr>
        <w:pStyle w:val="Subtitle"/>
      </w:pPr>
      <w:r>
        <w:t>Atores, precondições e resultados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Catálogo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100"/>
        <w:gridCol w:w="3600"/>
        <w:gridCol w:w="4200"/>
        <w:gridCol w:w="460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Caso de uso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Ator principal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Rastreabilidade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usuários e acessos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RF001 a RF007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UC002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clientes e unidades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RF008 a RF011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projeto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 ou Gerente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RF012 a RF018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UC004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equipe do projeto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 ou Gerente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RF019 a RF022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Cadastrar requisito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Administrador, Gerente ou Analista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RF023, RF025 a RF030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UC006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Editar e versionar requisito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Administrador, Gerente ou Analista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RF024, RF026 a RF029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tarefa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Administrador, Gerente, Analista ou Desenvolvedor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RF031 a RF039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UC008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Atualizar fluxo da tarefa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com permissão de gestão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RF037 a RF039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Utilizar quadro Kanban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do projeto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RF040 a RF043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UC010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modelos documentais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RF044 a RF049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Gerar e baixar documentos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Equipe autorizada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RF044 a RF049 e EV-MVP-001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UC012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Consultar painel e planejamento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 autenticado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RF057 a RF060 e EV-MVP-002/003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Inserir comentário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ativo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RF050 e RF051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UC014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Anexar arquivo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ativo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RF052 a RF054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Visualizar histórico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ativo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RF055 e RF056</w:t>
            </w:r>
          </w:p>
        </w:tc>
      </w:tr>
    </w:tbl>
    <w:p>
      <w:pPr>
        <w:spacing w:after="0"/>
      </w:pPr>
    </w:p>
    <w:p>
      <w:pPr>
        <w:pStyle w:val="Heading1"/>
      </w:pPr>
      <w:r>
        <w:t>2. Fluxo padrão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ator autentica e acessa um recurso visível.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valida perfil global, participação e papel contextual.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ator consulta ou informa dados.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valida integridade, formato e coerência entre projetos.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persiste o resultado e registra histórico quando aplicável.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confirma a operação ou apresenta mensagem de validação.</w:t>
      </w:r>
    </w:p>
    <w:p>
      <w:pPr>
        <w:pStyle w:val="Heading1"/>
      </w:pPr>
      <w:r>
        <w:t>3. Fluxos alternativos comuns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sem vínculo recebe bloqueio de acesso.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Registro inativo permanece histórico, mas não aparece em nova seleção.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Arquivo inválido é rejeitado sem gravação.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Tarefa sem datas permanece na seção de itens não planejados.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Nova geração documental cria versão seguinte.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Casos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06 - Casos de Uso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