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09</w:t>
      </w:r>
    </w:p>
    <w:p>
      <w:pPr>
        <w:pStyle w:val="Title"/>
      </w:pPr>
      <w:r>
        <w:t>Matriz de Rastreabilidade</w:t>
      </w:r>
    </w:p>
    <w:p>
      <w:pPr>
        <w:pStyle w:val="Subtitle"/>
      </w:pPr>
      <w:r>
        <w:t>Objetivos, requisitos, casos de uso e testes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1.0.0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23/07/2026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Atualizado para a release MVP 1.0.0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Cobertura por módulo</w:t>
      </w:r>
    </w:p>
    <w:tbl>
      <w:tblPr>
        <w:tblW w:type="dxa" w:w="142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2200"/>
        <w:gridCol w:w="2400"/>
        <w:gridCol w:w="1700"/>
        <w:gridCol w:w="4200"/>
        <w:gridCol w:w="150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Objetivo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Requisitos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Regras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UC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Teste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Versão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Acesso seguro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RF001-RF007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RN005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UC001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Authentication, Profile, UserManagement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Clientes e projetos</w:t>
            </w:r>
          </w:p>
        </w:tc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RF008-RF022</w:t>
            </w:r>
          </w:p>
        </w:tc>
        <w:tc>
          <w:tcPr>
            <w:tcW w:type="dxa" w:w="2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RN001-RN011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UC002-UC004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ProjectManagement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Requisitos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RF023-RF030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RN012-RN018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UC005-UC006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RequirementManagement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Tarefas</w:t>
            </w:r>
          </w:p>
        </w:tc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RF031-RF039</w:t>
            </w:r>
          </w:p>
        </w:tc>
        <w:tc>
          <w:tcPr>
            <w:tcW w:type="dxa" w:w="2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RN021-RN025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UC007-UC008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TaskManagement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RF040-RF043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RN024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UC009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KanbanManagement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Documentos</w:t>
            </w:r>
          </w:p>
        </w:tc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RF044-RF049</w:t>
            </w:r>
          </w:p>
        </w:tc>
        <w:tc>
          <w:tcPr>
            <w:tcW w:type="dxa" w:w="2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RN042-RN044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UC010-UC011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DocumentManagement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Colaboração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RF050-RF056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RN005, RNF029-RNF035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UC013-UC015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CollaborationAndHistory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Painel e prazo</w:t>
            </w:r>
          </w:p>
        </w:tc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RF057-RF060</w:t>
            </w:r>
          </w:p>
        </w:tc>
        <w:tc>
          <w:tcPr>
            <w:tcW w:type="dxa" w:w="2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DT-MVP-001/002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UC012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DashboardCalendarSchedule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Identidade pública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EV-MVP-004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RNF001-RNF004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Fluxo público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ExampleTest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</w:tbl>
    <w:p>
      <w:pPr>
        <w:spacing w:after="0"/>
      </w:pPr>
    </w:p>
    <w:p>
      <w:pPr>
        <w:pStyle w:val="Heading1"/>
      </w:pPr>
      <w:r>
        <w:t>2. Cobertura automatizada</w:t>
      </w:r>
    </w:p>
    <w:tbl>
      <w:tblPr>
        <w:tblW w:type="dxa" w:w="142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300"/>
        <w:gridCol w:w="6500"/>
        <w:gridCol w:w="440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Classe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Cobertura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Rastreabilidade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AuthenticationTest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Login, logout, credenciais e usuário inativo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RF001, RF002, RNF005, RNF010</w:t>
            </w:r>
          </w:p>
        </w:tc>
      </w:tr>
      <w:tr>
        <w:trPr>
          <w:cantSplit w:val="true"/>
        </w:trPr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EmailVerificationTest</w:t>
            </w:r>
          </w:p>
        </w:tc>
        <w:tc>
          <w:tcPr>
            <w:tcW w:type="dxa" w:w="6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Verificação de e-mail herdada do framework</w:t>
            </w:r>
          </w:p>
        </w:tc>
        <w:tc>
          <w:tcPr>
            <w:tcW w:type="dxa" w:w="4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RF004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PasswordConfirmationTest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Confirmação de senha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RF004, RNF007</w:t>
            </w:r>
          </w:p>
        </w:tc>
      </w:tr>
      <w:tr>
        <w:trPr>
          <w:cantSplit w:val="true"/>
        </w:trPr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PasswordResetTest</w:t>
            </w:r>
          </w:p>
        </w:tc>
        <w:tc>
          <w:tcPr>
            <w:tcW w:type="dxa" w:w="6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Componentes técnicos do Breeze; rotas públicas desabilitadas</w:t>
            </w:r>
          </w:p>
        </w:tc>
        <w:tc>
          <w:tcPr>
            <w:tcW w:type="dxa" w:w="4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RF003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PasswordUpdateTest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Atualização de senha autenticada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RF004</w:t>
            </w:r>
          </w:p>
        </w:tc>
      </w:tr>
      <w:tr>
        <w:trPr>
          <w:cantSplit w:val="true"/>
        </w:trPr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RegistrationTest</w:t>
            </w:r>
          </w:p>
        </w:tc>
        <w:tc>
          <w:tcPr>
            <w:tcW w:type="dxa" w:w="6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Componentes técnicos; cadastro público desabilitado</w:t>
            </w:r>
          </w:p>
        </w:tc>
        <w:tc>
          <w:tcPr>
            <w:tcW w:type="dxa" w:w="4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RF005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ProfileTest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Perfil e bloqueio da exclusão física da conta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RF004, RF006, RN005</w:t>
            </w:r>
          </w:p>
        </w:tc>
      </w:tr>
      <w:tr>
        <w:trPr>
          <w:cantSplit w:val="true"/>
        </w:trPr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UserManagementTest</w:t>
            </w:r>
          </w:p>
        </w:tc>
        <w:tc>
          <w:tcPr>
            <w:tcW w:type="dxa" w:w="6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Usuários, perfis e ativação</w:t>
            </w:r>
          </w:p>
        </w:tc>
        <w:tc>
          <w:tcPr>
            <w:tcW w:type="dxa" w:w="4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RF005 a RF007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ProjectManagementTest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Clientes, projetos, equipe e permissões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RF008 a RF022</w:t>
            </w:r>
          </w:p>
        </w:tc>
      </w:tr>
      <w:tr>
        <w:trPr>
          <w:cantSplit w:val="true"/>
        </w:trPr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RequirementManagementTest</w:t>
            </w:r>
          </w:p>
        </w:tc>
        <w:tc>
          <w:tcPr>
            <w:tcW w:type="dxa" w:w="6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Requisitos, versões, filtros e isolamento</w:t>
            </w:r>
          </w:p>
        </w:tc>
        <w:tc>
          <w:tcPr>
            <w:tcW w:type="dxa" w:w="4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RF023 a RF030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TaskManagementTest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Tarefas, subtarefas, datas, responsáveis e histórico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RF031 a RF039</w:t>
            </w:r>
          </w:p>
        </w:tc>
      </w:tr>
      <w:tr>
        <w:trPr>
          <w:cantSplit w:val="true"/>
        </w:trPr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KanbanManagementTest</w:t>
            </w:r>
          </w:p>
        </w:tc>
        <w:tc>
          <w:tcPr>
            <w:tcW w:type="dxa" w:w="6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Quadro, colunas, movimentação e permissões</w:t>
            </w:r>
          </w:p>
        </w:tc>
        <w:tc>
          <w:tcPr>
            <w:tcW w:type="dxa" w:w="4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RF040 a RF043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DocumentManagementTest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Modelos, DOCX, PDF, versões, rodapé e Backlog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RF044 a RF049, EV-MVP-001</w:t>
            </w:r>
          </w:p>
        </w:tc>
      </w:tr>
      <w:tr>
        <w:trPr>
          <w:cantSplit w:val="true"/>
        </w:trPr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CollaborationAndHistoryTest</w:t>
            </w:r>
          </w:p>
        </w:tc>
        <w:tc>
          <w:tcPr>
            <w:tcW w:type="dxa" w:w="6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Comentários, anexos privados e histórico</w:t>
            </w:r>
          </w:p>
        </w:tc>
        <w:tc>
          <w:tcPr>
            <w:tcW w:type="dxa" w:w="4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RF050 a RF056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DashboardCalendarScheduleTest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Indicadores, calendário, Gantt e visibilidade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RF057 a RF060, EV-MVP-002/003</w:t>
            </w:r>
          </w:p>
        </w:tc>
      </w:tr>
      <w:tr>
        <w:trPr>
          <w:cantSplit w:val="true"/>
        </w:trPr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ExampleTest e Unit/ExampleTest</w:t>
            </w:r>
          </w:p>
        </w:tc>
        <w:tc>
          <w:tcPr>
            <w:tcW w:type="dxa" w:w="6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Disponibilidade da página inicial e sanidade da suíte</w:t>
            </w:r>
          </w:p>
        </w:tc>
        <w:tc>
          <w:tcPr>
            <w:tcW w:type="dxa" w:w="4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EV-MVP-004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i w:val="0"/>
          <w:color w:val="24313A"/>
          <w:sz w:val="21"/>
        </w:rPr>
        <w:t>Total identificado no código: 93 métodos de teste. A aprovação final depende também dos casos manuais do Documento 12.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Matriz de Rastreabilidade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09 - Matriz de Rastreabilidade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