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2CC92">
      <w:pPr>
        <w:rPr>
          <w:rFonts w:hint="eastAsia" w:ascii="Times New Roman" w:hAnsi="Times New Roman" w:eastAsiaTheme="minorEastAsia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论文标题：</w:t>
      </w:r>
      <w:r>
        <w:rPr>
          <w:rFonts w:hint="eastAsia" w:ascii="Times New Roman" w:hAnsi="Times New Roman" w:eastAsiaTheme="minorEastAsia"/>
          <w:sz w:val="24"/>
          <w:szCs w:val="32"/>
          <w:lang w:val="en-US" w:eastAsia="zh-CN"/>
        </w:rPr>
        <w:t>《The Revolution of Multimodal Large Language Models: A Survey》</w:t>
      </w:r>
    </w:p>
    <w:p w14:paraId="5817E3C2">
      <w:pPr>
        <w:rPr>
          <w:rFonts w:hint="default" w:ascii="Times New Roman" w:hAnsi="Times New Roman" w:eastAsiaTheme="minorEastAsia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出处</w:t>
      </w:r>
      <w:r>
        <w:rPr>
          <w:rFonts w:hint="eastAsia" w:ascii="Times New Roman" w:hAnsi="Times New Roman" w:eastAsiaTheme="minorEastAsia"/>
          <w:sz w:val="24"/>
          <w:szCs w:val="32"/>
          <w:lang w:val="en-US" w:eastAsia="zh-CN"/>
        </w:rPr>
        <w:t>：ACL 2024 Findings, Bangkok, Thailand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、2024年</w:t>
      </w:r>
    </w:p>
    <w:p w14:paraId="78BBE049">
      <w:pPr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使用的大模型名称：Kimi</w:t>
      </w:r>
    </w:p>
    <w:p w14:paraId="78A72378">
      <w:pPr>
        <w:rPr>
          <w:rFonts w:hint="eastAsia" w:ascii="Times New Roman" w:hAnsi="Times New Roman"/>
          <w:sz w:val="24"/>
          <w:szCs w:val="32"/>
          <w:lang w:val="en-US" w:eastAsia="zh-CN"/>
        </w:rPr>
      </w:pPr>
    </w:p>
    <w:p w14:paraId="23532792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一、研究背景与动机</w:t>
      </w:r>
    </w:p>
    <w:p w14:paraId="64C79FCF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随着GPT-4V等多模态大语言模型（MLLMs）的兴起，人工智能正从单一文本理解向视觉-语言融合理解跨越。传统计算机视觉模型仅能处理特定任务（如分类、检测），而MLLMs通过将强大的大语言模型（LLM）作为"大脑"，实现了：</w:t>
      </w:r>
    </w:p>
    <w:p w14:paraId="3564DFCF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1、跨模态理解：同时处理图像、文本、甚至视频和音频</w:t>
      </w:r>
    </w:p>
    <w:p w14:paraId="6B519FF7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2、对话式交互：提供基于自然语言的交互界面</w:t>
      </w:r>
    </w:p>
    <w:p w14:paraId="6BD79391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3、指令跟随能力：根据人类指令执行复杂多模态任务</w:t>
      </w:r>
    </w:p>
    <w:p w14:paraId="273E5144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然而，该领域发展迅猛，架构设计、训练策略、评估基准等方面缺乏系统梳理。本文旨在全面综述视觉MLLMs的最新进展，为研究者提供清晰的技术路线图。</w:t>
      </w:r>
    </w:p>
    <w:p w14:paraId="3C001D5B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二、核心方法与技术框架</w:t>
      </w:r>
    </w:p>
    <w:p w14:paraId="00D23061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论文从技术架构、训练策略、应用场景三个维度展开分析：</w:t>
      </w:r>
    </w:p>
    <w:p w14:paraId="082C5F56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1、架构设计（Architecture）</w:t>
      </w:r>
    </w:p>
    <w:p w14:paraId="16449D29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MLLM通常采用三模块架构：</w:t>
      </w:r>
    </w:p>
    <w:p w14:paraId="7875BEBB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（1）视觉编码器（Vision Encoder）：如CLIP ViT，提取图像特征</w:t>
      </w:r>
    </w:p>
    <w:p w14:paraId="0FA6F7A5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投影层/适配器（Projector/Adapter）：对齐视觉与文本特征空间</w:t>
      </w:r>
    </w:p>
    <w:p w14:paraId="5F44894E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（3）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大语言模型主干（LLM Backbone）：如LLaMA、Vicuna，负责推理与生成</w:t>
      </w:r>
    </w:p>
    <w:p w14:paraId="613A2B1C">
      <w:pPr>
        <w:ind w:firstLine="420" w:firstLineChars="0"/>
        <w:jc w:val="center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20085" cy="2810510"/>
            <wp:effectExtent l="0" t="0" r="10795" b="8890"/>
            <wp:docPr id="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810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58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图1：多模态大型语言模型（MLLMs）的总体架构</w:t>
      </w:r>
    </w:p>
    <w:p w14:paraId="5AB79F88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2、多模态对齐策略（Alignment Strategies）</w:t>
      </w:r>
    </w:p>
    <w:p w14:paraId="740769DC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预训练阶段：大规模图文配对数据（如LAION-5B）进行特征对齐</w:t>
      </w:r>
    </w:p>
    <w:p w14:paraId="0429CD4D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指令微调阶段：使用多模态指令数据集（如LLaVA-Instruct）提升指令跟随能力</w:t>
      </w:r>
    </w:p>
    <w:p w14:paraId="220109AE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（3）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人类反馈强化学习（RLHF）：进一步优化模型输出质量</w:t>
      </w:r>
    </w:p>
    <w:p w14:paraId="132583A8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3、训练数据与评估基准</w:t>
      </w:r>
    </w:p>
    <w:p w14:paraId="1BEB5E5D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数据集：梳理了视觉问答（VQA）、图像描述（Captioning）、视觉定位（Grounding）等任务的训练集</w:t>
      </w:r>
    </w:p>
    <w:p w14:paraId="18082726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评估基准：涵盖MME、MMBench、MM-Vet等综合性评测工具</w:t>
      </w:r>
    </w:p>
    <w:p w14:paraId="1CEDE7A2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三、主要结果与发现</w:t>
      </w:r>
    </w:p>
    <w:p w14:paraId="0F6B9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3512185"/>
            <wp:effectExtent l="0" t="0" r="1905" b="8255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69F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表1：面向视觉到语言任务的通用多模态大语言模型概述</w:t>
      </w:r>
    </w:p>
    <w:p w14:paraId="1B6F6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6325" cy="2286000"/>
            <wp:effectExtent l="0" t="0" r="5715" b="0"/>
            <wp:docPr id="8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52F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表2：支持复杂视觉任务的MLLM模型对比</w:t>
      </w:r>
    </w:p>
    <w:p w14:paraId="2CD01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785620"/>
            <wp:effectExtent l="0" t="0" r="13970" b="12700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64B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22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2"/>
          <w:szCs w:val="28"/>
          <w:lang w:val="en-US" w:eastAsia="zh-CN"/>
        </w:rPr>
        <w:t>表3：具有专门用于图像生成和编辑组件的多模态大语言模型（MLLM）摘要</w:t>
      </w:r>
    </w:p>
    <w:p w14:paraId="436956EC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/>
          <w:sz w:val="24"/>
          <w:szCs w:val="32"/>
          <w:lang w:val="en-US" w:eastAsia="zh-CN"/>
        </w:rPr>
        <w:t>论文通过系统性实验对比，得出以下关键结论：</w:t>
      </w:r>
    </w:p>
    <w:p w14:paraId="5E22667F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1、主要发现</w:t>
      </w:r>
    </w:p>
    <w:p w14:paraId="74FF46AB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性能趋势：模型规模与数据量呈正相关，但边际效益递减；高质量指令数据比单纯扩大规模更重要</w:t>
      </w:r>
    </w:p>
    <w:p w14:paraId="1FD82898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模态扩展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：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从双模态（图文）向三模态（图文+音频/视频）发展成为趋势</w:t>
      </w:r>
    </w:p>
    <w:p w14:paraId="624EB7E8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（3）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任务覆盖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：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MLLMs在视觉定位、图像生成与编辑、领域特定应用（如医疗、自动驾驶）表现突出</w:t>
      </w:r>
    </w:p>
    <w:p w14:paraId="1436F998">
      <w:pPr>
        <w:ind w:firstLine="420" w:firstLineChars="0"/>
        <w:rPr>
          <w:rFonts w:hint="default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（4）计算效率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：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轻量化架构（如MobileVLM）与量化技术使端侧部署成为可能</w:t>
      </w:r>
    </w:p>
    <w:p w14:paraId="2041A3A5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2、代表性模型对比</w:t>
      </w:r>
    </w:p>
    <w:p w14:paraId="6A155D9C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闭源模型：GPT-4V、Gemini Pro保持领先，但细节不透明</w:t>
      </w:r>
    </w:p>
    <w:p w14:paraId="1E1665C5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开源模型：LLaVA、MiniGPT-4、Qwen-VL等快速追赶，社区生态活跃</w:t>
      </w:r>
    </w:p>
    <w:p w14:paraId="2E2E6AF1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四、个人小结与思考</w:t>
      </w:r>
    </w:p>
    <w:p w14:paraId="23AD2770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1、论文贡献</w:t>
      </w:r>
    </w:p>
    <w:p w14:paraId="004A264C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系统性：首次从架构、训练、评估、应用四个维度全面梳理MLLMs</w:t>
      </w:r>
    </w:p>
    <w:p w14:paraId="70B59952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时效性：涵盖2024年初最新进展，包括GPT-4V、Gemini等前沿模型</w:t>
      </w:r>
    </w:p>
    <w:p w14:paraId="17DCD801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（3）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实用性：提供详细的数据集与基准对比表格，便于研究者复现与选型</w:t>
      </w:r>
    </w:p>
    <w:p w14:paraId="1C742EC8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2、局限性</w:t>
      </w:r>
    </w:p>
    <w:p w14:paraId="21BD285B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主要聚焦视觉-语言模态，对音频、视频、3D点云等多模态扩展讨论有限，对幻觉问题（Hallucination）和安全性挑战分析较浅</w:t>
      </w:r>
    </w:p>
    <w:p w14:paraId="2BB9D033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3、未来展望</w:t>
      </w:r>
    </w:p>
    <w:p w14:paraId="34EB88B7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（1）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统一多模态架构：迈向"任意模态输入、任意模态输出"的真正统一模型</w:t>
      </w:r>
    </w:p>
    <w:p w14:paraId="1490858E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（2）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高效推理：解决MLLMs计算资源消耗大的痛点，推动端侧应用</w:t>
      </w:r>
    </w:p>
    <w:p w14:paraId="6F327933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（3）</w:t>
      </w:r>
      <w:r>
        <w:rPr>
          <w:rFonts w:hint="eastAsia" w:ascii="Times New Roman" w:hAnsi="Times New Roman"/>
          <w:sz w:val="24"/>
          <w:szCs w:val="32"/>
          <w:lang w:val="en-US" w:eastAsia="zh-CN"/>
        </w:rPr>
        <w:t>可信AI：减少幻觉现象，提升模型在关键领域（医疗、自动驾驶）的可靠性</w:t>
      </w:r>
    </w:p>
    <w:p w14:paraId="4A732F84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4、学习收获</w:t>
      </w:r>
    </w:p>
    <w:p w14:paraId="445A160D">
      <w:pPr>
        <w:ind w:firstLine="420" w:firstLineChars="0"/>
        <w:rPr>
          <w:rFonts w:hint="eastAsia" w:ascii="Times New Roman" w:hAnsi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/>
          <w:sz w:val="24"/>
          <w:szCs w:val="32"/>
          <w:lang w:val="en-US" w:eastAsia="zh-CN"/>
        </w:rPr>
        <w:t>通过本文，我系统理解了MLLMs的技术演进脉络：从简单的视觉特征提取，到深度语义对齐，再到复杂的指令推理。特别是"投影层设计"与"指令微调数据构建"两个环节，对实际应用具有重要指导价值。建议后续关注具身智能（Embodied AI）与MLLMs的结合，这是下一代AI Agent的核心方向。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F87"/>
    <w:rsid w:val="00B42F87"/>
    <w:rsid w:val="1B792748"/>
    <w:rsid w:val="3AAB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2026-03-11T09:00:00Z</dcterms:created>
  <dc:creator>小宇宙文文</dc:creator>
  <cp:lastModifiedBy>WPS_1586267151</cp:lastModifiedBy>
  <dcterms:modified xsi:type="dcterms:W3CDTF">2026-03-12T06:25:57Z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C2E8760822FC4F65821E91325EC1073B_11</vt:lpwstr>
  </property>
  <property fmtid="{D5CDD505-2E9C-101B-9397-08002B2CF9AE}" pid="4" name="KSOTemplateDocerSaveRecord">
    <vt:lpwstr>eyJoZGlkIjoiNDdlMDJkMWY0NzMwOTMyNjM3YWM1MjE4YWZjMjliZmIiLCJ1c2VySWQiOiI5NDIyOTcwOTcifQ==</vt:lpwstr>
  </property>
</Properties>
</file>