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6">
        <w:r w:rsidDel="00000000" w:rsidR="00000000" w:rsidRPr="00000000">
          <w:rPr>
            <w:b w:val="1"/>
            <w:i w:val="0"/>
            <w:color w:val="0000ee"/>
            <w:sz w:val="48"/>
            <w:szCs w:val="48"/>
            <w:u w:val="single"/>
            <w:rtl w:val="0"/>
          </w:rPr>
          <w:t xml:space="preserve">CHIN@ide</w:t>
        </w:r>
      </w:hyperlink>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Homepage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Qui Somme Nous</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Business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 Nous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Intermédiaire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cours d'essai gratuit!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ce niveau, vous êtes amené à approfondir vos connaissances sur la langue chinoise. Vous serez capable de comprendre des conversations simples en chinois et de vous faire comprendre en chinois. Au niveau d'écriture, vous connaîtrez 250 caractères.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niveau correspond au niveau 2 du HSK.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Nos Professeurs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 Hong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ans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 en Chinois Langue Etrangère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Jeune diplômée avec son approche ludique.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ZHONG Huang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ans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 en Chinois Langue Etrangère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ans d'enseignement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GAO Lan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43ans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Doctorat en Littérature chinoise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ans d'enseignement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Enseignement personnalisé suite à votre besoin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Notre garantie 100% satisfaction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Notre équipe d’enseignants professionnels et passionés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docs.google.com/Contact.html"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ui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No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