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智能体基座平台软件需求规格说明书（SRS）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依据：《2026-2027年团队规划暨第一次例会（修订版v2）》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版本：V1.0（草案）   编制：基座模块组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目录</w:t>
      </w:r>
    </w:p>
    <w:p>
      <w:pPr>
        <w:spacing w:line="240" w:lineRule="auto"/>
      </w:pP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 项目概述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 项目背景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 项目目标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 项目范围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1.4  术语定义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2  总体架构设计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2.1  基础设施层（基座负责）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2.2  数据层（基座负责）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2.3  能力层（基座核心模块）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2.4  应用层（子平台，基座不开发）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3  职责边界（强制约束，所有子平台周知）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3.1  基座负责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3.2  基座绝对不负责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4" w:history="1">
        <w:r>
          <w:t>4  模块功能需求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4.1  身份与访问管理IAM模块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4.2  交易与计费配额模块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4.3  智能体网关模块（基座核心）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4.4  统一知识库服务模块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4.5  工作流编排与提示词工程模块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4.6  通用插件工具框架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4.7  运营迭代模块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4.8  公共前端组件库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3" w:history="1">
        <w:r>
          <w:t>5  非功能需求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4" w:history="1">
        <w:r>
          <w:t>6  数据库核心表设计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5" w:history="1">
        <w:r>
          <w:t>7  RESTful API接口总览（基座对外，供子平台调用）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6" w:history="1">
        <w:r>
          <w:t>8  基座接入规范（面向各子平台开发团队）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8.1  接入前提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8" w:history="1">
        <w:r>
          <w:t>8.2  接入步骤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9" w:history="1">
        <w:r>
          <w:t>8.3  禁止行为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0" w:history="1">
        <w:r>
          <w:t>9  部署、版本与迭代管理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1" w:history="1">
        <w:r>
          <w:t>10  测试交付物要求（基座团队输出）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2" w:history="1">
        <w:r>
          <w:t>11  风险与约束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11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  <w:spacing w:before="280" w:after="120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1  项目概述</w:t>
      </w:r>
      <w:bookmarkEnd w:id="1"/>
    </w:p>
    <w:p>
      <w:pPr>
        <w:pStyle w:val="Heading2"/>
        <w:spacing w:before="220" w:after="100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1.1  项目背景</w:t>
      </w:r>
      <w:bookmarkEnd w:id="2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团队规划建设十大类智能体阵列（科创、文化、教育、健康、企业、数据、知产、法律、国际知产、跨境数字贸易，合计约180个智能体）。为避免每个智能体重复开发登录鉴权、模型调用、向量知识库、权限、计费、审计等通用能力，搭建统一基座平台，实现关注点分离：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基座：沉淀通用底层技术能力，一次建设，全部子平台复用；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子平台：聚焦领域业务、行业知识库、业务交互页面。</w:t>
      </w:r>
    </w:p>
    <w:p>
      <w:pPr>
        <w:pStyle w:val="Heading2"/>
        <w:spacing w:before="220" w:after="100"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1.2  项目目标</w:t>
      </w:r>
      <w:bookmarkEnd w:id="3"/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支撑十大类智能体子平台接入，实现多租户资源与数据隔离；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提供统一身份、模型网关、知识库服务、工作流编排、插件框架、计费配额、审计运营能力；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提供公共UI组件库（导航、登录、消息、弹窗、免责提示）；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基座版本与上层智能体季度迭代节奏对齐；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从Demo原型走向可运营、可审计、可灰度发布的工程化平台。</w:t>
      </w:r>
    </w:p>
    <w:p>
      <w:pPr>
        <w:pStyle w:val="Heading2"/>
        <w:spacing w:before="220" w:after="100"/>
      </w:pPr>
      <w:bookmarkStart w:id="4" w:name="_LarkToc00004"/>
      <w:r>
        <w:rPr>
          <w:rFonts w:ascii="Times New Roman" w:hAnsi="Times New Roman" w:eastAsia="黑体"/>
          <w:b/>
          <w:color w:val="000000"/>
          <w:sz w:val="28"/>
        </w:rPr>
        <w:t>1.3  项目范围</w:t>
      </w:r>
      <w:bookmarkEnd w:id="4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本系统包含：身份访问、交易计费、智能体网关、知识库底座、工作流编排、插件框架、数据资产、运营监控、公共UI组件、合规框架模板。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本系统不包含：任何业务逻辑（家谱、专利、学科教学、企业诊断等业务全部由子平台实现）。</w:t>
      </w:r>
    </w:p>
    <w:p>
      <w:pPr>
        <w:pStyle w:val="Heading2"/>
        <w:spacing w:before="220" w:after="100"/>
      </w:pPr>
      <w:bookmarkStart w:id="5" w:name="_LarkToc00005"/>
      <w:r>
        <w:rPr>
          <w:rFonts w:ascii="Times New Roman" w:hAnsi="Times New Roman" w:eastAsia="黑体"/>
          <w:b/>
          <w:color w:val="000000"/>
          <w:sz w:val="28"/>
        </w:rPr>
        <w:t>1.4  术语定义</w:t>
      </w:r>
      <w:bookmarkEnd w:id="5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术语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基座平台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公共底层底座，本系统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子平台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十大类领域智能体平台（教育、企业等）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租户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每一个子平台为一个独立租户，资源隔离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智能体实例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子平台内部的单个Agent，例如语文霸、专利交底书生成Agent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季度迭代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每3个月一个版本；设计月→迭代月→开发测试上线月</w:t>
            </w:r>
          </w:p>
        </w:tc>
      </w:tr>
    </w:tbl>
    <w:p>
      <w:pPr>
        <w:pStyle w:val="Heading1"/>
        <w:spacing w:before="280" w:after="120"/>
      </w:pPr>
      <w:bookmarkStart w:id="6" w:name="_LarkToc00006"/>
      <w:r>
        <w:rPr>
          <w:rFonts w:ascii="Times New Roman" w:hAnsi="Times New Roman" w:eastAsia="黑体"/>
          <w:b/>
          <w:color w:val="000000"/>
          <w:sz w:val="32"/>
        </w:rPr>
        <w:t>2  总体架构设计</w:t>
      </w:r>
      <w:bookmarkEnd w:id="6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严格遵循团队规划的四层架构：自下而上为基础设施层→数据层→能力层→应用层（子平台）。</w:t>
      </w:r>
    </w:p>
    <w:p>
      <w:pPr>
        <w:pStyle w:val="Heading2"/>
        <w:spacing w:before="220" w:after="100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2.1  基础设施层（基座负责）</w:t>
      </w:r>
      <w:bookmarkEnd w:id="7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提供算力调度、模型服务接入、对象存储、数据库集群；基础安全（网络、加密、访问控制、存储安全）。上层业务（子平台）不直接对接模型与原始存储，全部经基座封装。</w:t>
      </w:r>
    </w:p>
    <w:p>
      <w:pPr>
        <w:pStyle w:val="Heading2"/>
        <w:spacing w:before="220" w:after="100"/>
      </w:pPr>
      <w:bookmarkStart w:id="8" w:name="_LarkToc00008"/>
      <w:r>
        <w:rPr>
          <w:rFonts w:ascii="Times New Roman" w:hAnsi="Times New Roman" w:eastAsia="黑体"/>
          <w:b/>
          <w:color w:val="000000"/>
          <w:sz w:val="28"/>
        </w:rPr>
        <w:t>2.2  数据层（基座负责）</w:t>
      </w:r>
      <w:bookmarkEnd w:id="8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注意：只提供存储、向量索引、数据治理能力；领域业务数据内容由子平台管理。主要包括：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用户账号数据、租户配置数据、配额与订单数据；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共享知识库底层向量引擎、索引管理；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会话日志、调用审计日志、操作留痕数据；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权限策略、灰度配置、A/B实验配置。</w:t>
      </w:r>
    </w:p>
    <w:p>
      <w:pPr>
        <w:pStyle w:val="Heading2"/>
        <w:spacing w:before="220" w:after="100"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2.3  能力层（基座核心模块）</w:t>
      </w:r>
      <w:bookmarkEnd w:id="9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包含七大核心能力模块：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身份与访问管理模块（IAM/RBAC单点登录）；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交易与计费配额模块；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智能体网关模块（多模型路由、限流、调用审计）；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统一知识库服务模块（向量检索、知识库生命周期管理）；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工作流编排与提示词版本管理模块；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通用插件工具框架；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运营迭代模块：监控、灰度发布、A/B实验、合规弹窗组件。</w:t>
      </w:r>
    </w:p>
    <w:p>
      <w:pPr>
        <w:pStyle w:val="Heading2"/>
        <w:spacing w:before="220" w:after="100"/>
      </w:pPr>
      <w:bookmarkStart w:id="10" w:name="_LarkToc00010"/>
      <w:r>
        <w:rPr>
          <w:rFonts w:ascii="Times New Roman" w:hAnsi="Times New Roman" w:eastAsia="黑体"/>
          <w:b/>
          <w:color w:val="000000"/>
          <w:sz w:val="28"/>
        </w:rPr>
        <w:t>2.4  应用层（子平台，基座不开发）</w:t>
      </w:r>
      <w:bookmarkEnd w:id="10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十大类智能体子平台Web、移动端；领域知识库业务内容、业务页面、业务提示词、行业业务逻辑；业务UI业务卡片（如科创集市、文化集市页面）。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交互模式：子平台通过HTTP API调用基座能力；前端复用基座提供的公共UI组件。</w:t>
      </w:r>
    </w:p>
    <w:p>
      <w:pPr>
        <w:pStyle w:val="Heading1"/>
        <w:spacing w:before="280" w:after="120"/>
      </w:pPr>
      <w:bookmarkStart w:id="11" w:name="_LarkToc00011"/>
      <w:r>
        <w:rPr>
          <w:rFonts w:ascii="Times New Roman" w:hAnsi="Times New Roman" w:eastAsia="黑体"/>
          <w:b/>
          <w:color w:val="000000"/>
          <w:sz w:val="32"/>
        </w:rPr>
        <w:t>3  职责边界（强制约束，所有子平台周知）</w:t>
      </w:r>
      <w:bookmarkEnd w:id="11"/>
    </w:p>
    <w:p>
      <w:pPr>
        <w:pStyle w:val="Heading2"/>
        <w:spacing w:before="220" w:after="100"/>
      </w:pPr>
      <w:bookmarkStart w:id="12" w:name="_LarkToc00012"/>
      <w:r>
        <w:rPr>
          <w:rFonts w:ascii="Times New Roman" w:hAnsi="Times New Roman" w:eastAsia="黑体"/>
          <w:b/>
          <w:color w:val="000000"/>
          <w:sz w:val="28"/>
        </w:rPr>
        <w:t>3.1  基座负责</w:t>
      </w:r>
      <w:bookmarkEnd w:id="12"/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统一注册、单点登录、RBAC角色权限，控制谁可访问哪个智能体、哪些数据；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智能体网关：模型路由、调用配额、限流、全链路调用日志审计；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知识库底层：向量库、索引管理、文档上传/切分/检索能力；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工作流编排、提示词版本管理底层框架；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插件底层调度框架；子平台注册业务插件，基座负责执行调度；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订单、会员订阅、调用配额、计费统计；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公共UI组件库：顶部导航栏、登录弹窗、消息通知、个人中心、合规免责弹窗；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多租户隔离：不同子平台之间配置、配额、审计日志隔离；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通用安全框架：数据脱敏模板、操作日志留痕、灰度配置、A/B实验能力。</w:t>
      </w:r>
    </w:p>
    <w:p>
      <w:pPr>
        <w:pStyle w:val="Heading2"/>
        <w:spacing w:before="220" w:after="100"/>
      </w:pPr>
      <w:bookmarkStart w:id="13" w:name="_LarkToc00013"/>
      <w:r>
        <w:rPr>
          <w:rFonts w:ascii="Times New Roman" w:hAnsi="Times New Roman" w:eastAsia="黑体"/>
          <w:b/>
          <w:color w:val="000000"/>
          <w:sz w:val="28"/>
        </w:rPr>
        <w:t>3.2  基座绝对不负责</w:t>
      </w:r>
      <w:bookmarkEnd w:id="13"/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不实现任何领域业务逻辑：不写家谱、专利、教学问答、企业诊断等业务代码；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不维护领域知识库内容：二十五史、专利库、学科题库等业务语料由子平台导入管理，基座仅提供底层存储检索；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不实现子平台业务页面（智能体集市业务卡片）；子平台复用基座导航组件，业务页面自行开发；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不做业务合规判定：健康、法律、跨境数据等业务合规判定由子平台与专业人员完成；基座只提供脱敏、日志、免责弹窗框架组件，文案与业务规则由子平台传入。</w:t>
      </w:r>
    </w:p>
    <w:p>
      <w:pPr>
        <w:pStyle w:val="Heading1"/>
        <w:spacing w:before="280" w:after="120"/>
      </w:pPr>
      <w:bookmarkStart w:id="14" w:name="_LarkToc00014"/>
      <w:r>
        <w:rPr>
          <w:rFonts w:ascii="Times New Roman" w:hAnsi="Times New Roman" w:eastAsia="黑体"/>
          <w:b/>
          <w:color w:val="000000"/>
          <w:sz w:val="32"/>
        </w:rPr>
        <w:t>4  模块功能需求</w:t>
      </w:r>
      <w:bookmarkEnd w:id="14"/>
    </w:p>
    <w:p>
      <w:pPr>
        <w:pStyle w:val="Heading2"/>
        <w:spacing w:before="220" w:after="100"/>
      </w:pPr>
      <w:bookmarkStart w:id="15" w:name="_LarkToc00015"/>
      <w:r>
        <w:rPr>
          <w:rFonts w:ascii="Times New Roman" w:hAnsi="Times New Roman" w:eastAsia="黑体"/>
          <w:b/>
          <w:color w:val="000000"/>
          <w:sz w:val="28"/>
        </w:rPr>
        <w:t>4.1  身份与访问管理IAM模块</w:t>
      </w:r>
      <w:bookmarkEnd w:id="15"/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支持账号注册、登录、单点登录SSO，子平台无需再开发登录页面，直接复用基座登录组件；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RBAC角色权限模型：系统角色、租户角色（子平台自定义角色）；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租户隔离：每个子平台作为独立租户；租户内可定义管理员、普通用户、访客等角色；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接口鉴权：所有基座API必须携带token鉴权，校验当前用户对该租户、该资源的访问权限；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权限变更日志：所有角色、权限修改全部留审计日志。</w:t>
      </w:r>
    </w:p>
    <w:p>
      <w:pPr>
        <w:pStyle w:val="Heading2"/>
        <w:spacing w:before="220" w:after="100"/>
      </w:pPr>
      <w:bookmarkStart w:id="16" w:name="_LarkToc00016"/>
      <w:r>
        <w:rPr>
          <w:rFonts w:ascii="Times New Roman" w:hAnsi="Times New Roman" w:eastAsia="黑体"/>
          <w:b/>
          <w:color w:val="000000"/>
          <w:sz w:val="28"/>
        </w:rPr>
        <w:t>4.2  交易与计费配额模块</w:t>
      </w:r>
      <w:bookmarkEnd w:id="16"/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配额管理：为每个租户（子平台）、每个智能体实例设置模型调用token上限，支持按日/按月配额；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订单与会员订阅能力框架：会员订单记录、消费统计；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调用消耗统计：统计每个租户、每个智能体的token消耗、调用次数；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配额熔断：到达配额上限后拦截调用，返回明确错误码。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说明：真实支付对接属于可选扩展，现阶段可先做记账统计框架，支付能力后续迭代。</w:t>
      </w:r>
    </w:p>
    <w:p>
      <w:pPr>
        <w:pStyle w:val="Heading2"/>
        <w:spacing w:before="220" w:after="100"/>
      </w:pPr>
      <w:bookmarkStart w:id="17" w:name="_LarkToc00017"/>
      <w:r>
        <w:rPr>
          <w:rFonts w:ascii="Times New Roman" w:hAnsi="Times New Roman" w:eastAsia="黑体"/>
          <w:b/>
          <w:color w:val="000000"/>
          <w:sz w:val="28"/>
        </w:rPr>
        <w:t>4.3  智能体网关模块（基座核心）</w:t>
      </w:r>
      <w:bookmarkEnd w:id="17"/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多模型路由：支持配置多个大模型后端，子平台调用时指定模型标识，网关转发请求；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请求转发、流式返回支持（Agent流式对话）；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限流、熔断：全局、租户、智能体三级限流；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全量调用审计：每次模型调用记录租户id、智能体id、用户id、入参摘要、出参摘要、token消耗、时间、是否成功；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模型版本切换：子平台无需修改代码，在基座配置即可切换底层大模型；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错误统一封装，返回标准化错误码。</w:t>
      </w:r>
    </w:p>
    <w:p>
      <w:pPr>
        <w:pStyle w:val="Heading2"/>
        <w:spacing w:before="220" w:after="100"/>
      </w:pPr>
      <w:bookmarkStart w:id="18" w:name="_LarkToc00018"/>
      <w:r>
        <w:rPr>
          <w:rFonts w:ascii="Times New Roman" w:hAnsi="Times New Roman" w:eastAsia="黑体"/>
          <w:b/>
          <w:color w:val="000000"/>
          <w:sz w:val="28"/>
        </w:rPr>
        <w:t>4.4  统一知识库服务模块</w:t>
      </w:r>
      <w:bookmarkEnd w:id="18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只做底层能力，知识库业务内容由子平台管理：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文档上传、文本切分、向量化入库；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向量检索接口：子平台传入query，返回topN检索片段；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知识库资源隔离：按租户隔离知识库，A子平台不能访问B子平台知识库；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知识库版本管理：支持版本快照、回滚；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文档元数据管理，支持标签过滤检索。</w:t>
      </w:r>
    </w:p>
    <w:p>
      <w:pPr>
        <w:pStyle w:val="Heading2"/>
        <w:spacing w:before="220" w:after="100"/>
      </w:pPr>
      <w:bookmarkStart w:id="19" w:name="_LarkToc00019"/>
      <w:r>
        <w:rPr>
          <w:rFonts w:ascii="Times New Roman" w:hAnsi="Times New Roman" w:eastAsia="黑体"/>
          <w:b/>
          <w:color w:val="000000"/>
          <w:sz w:val="28"/>
        </w:rPr>
        <w:t>4.5  工作流编排与提示词工程模块</w:t>
      </w:r>
      <w:bookmarkEnd w:id="19"/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提示词模板版本管理：保存多版本prompt，支持版本切换、回滚；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可视化工作流底层执行引擎：支持编排“检索→大模型调用→插件调用”链路；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工作流资源归属租户隔离。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业务工作流（如专利申请流程、家谱考据流程）由子平台配置；基座只做执行引擎。</w:t>
      </w:r>
    </w:p>
    <w:p>
      <w:pPr>
        <w:pStyle w:val="Heading2"/>
        <w:spacing w:before="220" w:after="100"/>
      </w:pPr>
      <w:bookmarkStart w:id="20" w:name="_LarkToc00020"/>
      <w:r>
        <w:rPr>
          <w:rFonts w:ascii="Times New Roman" w:hAnsi="Times New Roman" w:eastAsia="黑体"/>
          <w:b/>
          <w:color w:val="000000"/>
          <w:sz w:val="28"/>
        </w:rPr>
        <w:t>4.6  通用插件工具框架</w:t>
      </w:r>
      <w:bookmarkEnd w:id="20"/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插件注册机制：子平台把自有业务插件注册到基座；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基座统一负责插件调用调度、参数校验、调用日志留存；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插件执行隔离、超时控制、异常捕获记录审计日志。</w:t>
      </w:r>
    </w:p>
    <w:p>
      <w:pPr>
        <w:pStyle w:val="Heading2"/>
        <w:spacing w:before="220" w:after="100"/>
      </w:pPr>
      <w:bookmarkStart w:id="21" w:name="_LarkToc00021"/>
      <w:r>
        <w:rPr>
          <w:rFonts w:ascii="Times New Roman" w:hAnsi="Times New Roman" w:eastAsia="黑体"/>
          <w:b/>
          <w:color w:val="000000"/>
          <w:sz w:val="28"/>
        </w:rPr>
        <w:t>4.7  运营迭代模块</w:t>
      </w:r>
      <w:bookmarkEnd w:id="21"/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监控大盘：基座全局监控，同时提供每个租户调用统计数据（调用量、错误率、token消耗），供子平台查看；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灰度发布配置：可对部分用户灰度启用新版本工作流/prompt模板；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A/B实验底层框架：支持实验组、对照组流量切分，记录实验指标；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公共合规UI组件：免责弹窗组件（健康、法律、跨境智能体传入业务提示文案）、数据脱敏模板组件；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会话日志存储：用户对话会话存储，按租户隔离。</w:t>
      </w:r>
    </w:p>
    <w:p>
      <w:pPr>
        <w:pStyle w:val="Heading2"/>
        <w:spacing w:before="220" w:after="100"/>
      </w:pPr>
      <w:bookmarkStart w:id="22" w:name="_LarkToc00022"/>
      <w:r>
        <w:rPr>
          <w:rFonts w:ascii="Times New Roman" w:hAnsi="Times New Roman" w:eastAsia="黑体"/>
          <w:b/>
          <w:color w:val="000000"/>
          <w:sz w:val="28"/>
        </w:rPr>
        <w:t>4.8  公共前端组件库</w:t>
      </w:r>
      <w:bookmarkEnd w:id="22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输出给子平台前端复用：全局顶部导航栏、搜索组件；登录注册弹窗；消息通知组件；用户个人中心组件；合规免责提示弹窗组件。子平台只引入基座组件，业务页面、业务卡片由子平台自行开发。</w:t>
      </w:r>
    </w:p>
    <w:p>
      <w:pPr>
        <w:pStyle w:val="Heading1"/>
        <w:spacing w:before="280" w:after="120"/>
      </w:pPr>
      <w:bookmarkStart w:id="23" w:name="_LarkToc00023"/>
      <w:r>
        <w:rPr>
          <w:rFonts w:ascii="Times New Roman" w:hAnsi="Times New Roman" w:eastAsia="黑体"/>
          <w:b/>
          <w:color w:val="000000"/>
          <w:sz w:val="32"/>
        </w:rPr>
        <w:t>5  非功能需求</w:t>
      </w:r>
      <w:bookmarkEnd w:id="23"/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多租户隔离：数据、配置、配额严格租户隔离；租户之间不可越权访问；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兼容性：基座API版本向下兼容；基座升级，旧版本子平台不需要大规模改造；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性能：网关支持并发模型调用；向量检索响应时间合理；支持未来180个智能体同时接入；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可审计：身份变更、模型调用、插件调用、知识库修改全部留日志，不可删除，支持导出；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安全：接口鉴权、输入校验；敏感数据脱敏存储；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迭代对齐：跟随团队季度迭代，每季度输出基座版本、版本变更文档；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可观测：错误告警、调用异常告警。</w:t>
      </w:r>
    </w:p>
    <w:p>
      <w:pPr>
        <w:pStyle w:val="Heading1"/>
        <w:spacing w:before="280" w:after="120"/>
      </w:pPr>
      <w:bookmarkStart w:id="24" w:name="_LarkToc00024"/>
      <w:r>
        <w:rPr>
          <w:rFonts w:ascii="Times New Roman" w:hAnsi="Times New Roman" w:eastAsia="黑体"/>
          <w:b/>
          <w:color w:val="000000"/>
          <w:sz w:val="32"/>
        </w:rPr>
        <w:t>6  数据库核心表设计</w:t>
      </w:r>
      <w:bookmarkEnd w:id="24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仅列出核心业务表；实际生产需补充索引、唯一约束、时间戳、逻辑删除字段。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表名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主要字段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sys_tenant 租户表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tenant_id, tenant_name, tenant_desc, status, create_time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sys_user 用户账号表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user_id, username, password_hash, phone, email, create_time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sys_user_tenant_rel 用户租户关联表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rel_id, user_id, tenant_id, role_ids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sys_role 角色表(RBAC)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role_id, tenant_id, role_name, permission_json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sys_permission 权限项表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perm_id, perm_key, perm_desc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model_config 大模型后端配置表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model_id, model_name, endpoint, api_key, status, max_token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agent_quota 配额表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quota_id, tenant_id, agent_id, quota_type, limit_value, used_value, reset_cycle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model_call_log 模型调用审计日志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log_id, tenant_id, agent_id, user_id, model_id, input_snippet, output_snippet, token_used, status, cost, call_time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kb_repo 知识库仓库表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repo_id, tenant_id, repo_name, vector_index_name, status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prompt_template 提示词模板版本表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prompt_id, tenant_id, name, content, version, create_time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workflow_def 工作流定义表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wf_id, tenant_id, name, dsl_json, version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plugin_register 插件注册表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plugin_id, tenant_id, name, endpoint, param_schema, status</w:t>
            </w:r>
          </w:p>
        </w:tc>
      </w:tr>
    </w:tbl>
    <w:p>
      <w:pPr>
        <w:pStyle w:val="Heading1"/>
        <w:spacing w:before="280" w:after="120"/>
      </w:pPr>
      <w:bookmarkStart w:id="25" w:name="_LarkToc00025"/>
      <w:r>
        <w:rPr>
          <w:rFonts w:ascii="Times New Roman" w:hAnsi="Times New Roman" w:eastAsia="黑体"/>
          <w:b/>
          <w:color w:val="000000"/>
          <w:sz w:val="32"/>
        </w:rPr>
        <w:t>7  RESTful API接口总览（基座对外，供子平台调用）</w:t>
      </w:r>
      <w:bookmarkEnd w:id="25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实际开发补充请求体、响应体、错误码，此处只做接口分类。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接口分类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接口路径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身份鉴权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/api/v1/auth/login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登录获取token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身份鉴权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/api/v1/auth/user-info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获取当前登录用户信息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身份鉴权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/api/v1/auth/tenant-list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获取用户可访问租户列表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智能体网关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/api/v1/gateway/chat/completions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对话模型调用（流式/非流式）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智能体网关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/api/v1/gateway/call-stat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获取租户调用统计数据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知识库服务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/api/v1/kb/repo/create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创建知识库仓库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知识库服务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/api/v1/kb/repo/document/upload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上传文档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知识库服务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/api/v1/kb/repo/search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向量检索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Prompt与工作流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/api/v1/prompt/template/save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保存提示词模板（带版本）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Prompt与工作流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/api/v1/workflow/run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执行工作流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插件框架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/api/v1/plugin/register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注册业务插件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插件框架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/api/v1/plugin/call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调用插件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配额与计费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/api/v1/quota/get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获取租户/智能体配额与已使用量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审计日志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/api/v1/log/model-call/list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查询模型调用审计日志（租户只能看本租户日志）</w:t>
            </w:r>
          </w:p>
        </w:tc>
      </w:tr>
    </w:tbl>
    <w:p>
      <w:pPr>
        <w:pStyle w:val="Heading1"/>
        <w:spacing w:before="280" w:after="120"/>
      </w:pPr>
      <w:bookmarkStart w:id="26" w:name="_LarkToc00026"/>
      <w:r>
        <w:rPr>
          <w:rFonts w:ascii="Times New Roman" w:hAnsi="Times New Roman" w:eastAsia="黑体"/>
          <w:b/>
          <w:color w:val="000000"/>
          <w:sz w:val="32"/>
        </w:rPr>
        <w:t>8  基座接入规范（面向各子平台开发团队）</w:t>
      </w:r>
      <w:bookmarkEnd w:id="26"/>
    </w:p>
    <w:p>
      <w:pPr>
        <w:pStyle w:val="Heading2"/>
        <w:spacing w:before="220" w:after="100"/>
      </w:pPr>
      <w:bookmarkStart w:id="27" w:name="_LarkToc00027"/>
      <w:r>
        <w:rPr>
          <w:rFonts w:ascii="Times New Roman" w:hAnsi="Times New Roman" w:eastAsia="黑体"/>
          <w:b/>
          <w:color w:val="000000"/>
          <w:sz w:val="28"/>
        </w:rPr>
        <w:t>8.1  接入前提</w:t>
      </w:r>
      <w:bookmarkEnd w:id="27"/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子平台向基座申请分配唯一tenant_id；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子平台确定需要基座提供的能力：是否需要知识库、工作流、自定义插件；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优先参考样板：教育智能体、企业智能体接入示例工程。</w:t>
      </w:r>
    </w:p>
    <w:p>
      <w:pPr>
        <w:pStyle w:val="Heading2"/>
        <w:spacing w:before="220" w:after="100"/>
      </w:pPr>
      <w:bookmarkStart w:id="28" w:name="_LarkToc00028"/>
      <w:r>
        <w:rPr>
          <w:rFonts w:ascii="Times New Roman" w:hAnsi="Times New Roman" w:eastAsia="黑体"/>
          <w:b/>
          <w:color w:val="000000"/>
          <w:sz w:val="28"/>
        </w:rPr>
        <w:t>8.2  接入步骤</w:t>
      </w:r>
      <w:bookmarkEnd w:id="28"/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在基座注册租户，获取租户凭证；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前端引入基座公共UI组件库（登录、导航、弹窗）；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后端调用基座API，所有请求带上鉴权token与tenant_id；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注册本租户的知识库、prompt模板、业务插件；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联调测试：权限、模型调用、知识库检索、配额熔断；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完成样板测试，进入季度版本迭代。</w:t>
      </w:r>
    </w:p>
    <w:p>
      <w:pPr>
        <w:pStyle w:val="Heading2"/>
        <w:spacing w:before="220" w:after="100"/>
      </w:pPr>
      <w:bookmarkStart w:id="29" w:name="_LarkToc00029"/>
      <w:r>
        <w:rPr>
          <w:rFonts w:ascii="Times New Roman" w:hAnsi="Times New Roman" w:eastAsia="黑体"/>
          <w:b/>
          <w:color w:val="000000"/>
          <w:sz w:val="28"/>
        </w:rPr>
        <w:t>8.3  禁止行为</w:t>
      </w:r>
      <w:bookmarkEnd w:id="29"/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子平台禁止绕过基座直接调用底层大模型；所有模型请求必须经过网关；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禁止跨租户访问其他子平台知识库、配置；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业务逻辑不能下沉写到基座；业务逻辑全部保留在子平台。</w:t>
      </w:r>
    </w:p>
    <w:p>
      <w:pPr>
        <w:pStyle w:val="Heading1"/>
        <w:spacing w:before="280" w:after="120"/>
      </w:pPr>
      <w:bookmarkStart w:id="30" w:name="_LarkToc00030"/>
      <w:r>
        <w:rPr>
          <w:rFonts w:ascii="Times New Roman" w:hAnsi="Times New Roman" w:eastAsia="黑体"/>
          <w:b/>
          <w:color w:val="000000"/>
          <w:sz w:val="32"/>
        </w:rPr>
        <w:t>9  部署、版本与迭代管理</w:t>
      </w:r>
      <w:bookmarkEnd w:id="30"/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迭代周期：季度迭代（3个月一个基座版本），对齐上层智能体迭代节奏；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版本号规则：V主.次.季度号，例如V1.0.Q1；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每个版本交付：版本变更说明文档、兼容性说明、升级步骤；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部署环境：开发环境→联调测试环境→正式环境；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发布顺序：先样板（教育、企业智能体）验证基座新版本，再全量开放给其他子平台。</w:t>
      </w:r>
    </w:p>
    <w:p>
      <w:pPr>
        <w:pStyle w:val="Heading1"/>
        <w:spacing w:before="280" w:after="120"/>
      </w:pPr>
      <w:bookmarkStart w:id="31" w:name="_LarkToc00031"/>
      <w:r>
        <w:rPr>
          <w:rFonts w:ascii="Times New Roman" w:hAnsi="Times New Roman" w:eastAsia="黑体"/>
          <w:b/>
          <w:color w:val="000000"/>
          <w:sz w:val="32"/>
        </w:rPr>
        <w:t>10  测试交付物要求（基座团队输出）</w:t>
      </w:r>
      <w:bookmarkEnd w:id="31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每一个基座版本上线，基座测试需输出：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基座版本测试报告：模块测试结果、多租户隔离测试、网关并发测试、安全测试结果；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Bug清单：已修复/遗留问题，遗留风险说明；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API更新说明文档；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升级部署手册。</w:t>
      </w:r>
    </w:p>
    <w:p>
      <w:pPr>
        <w:pStyle w:val="Heading1"/>
        <w:spacing w:before="280" w:after="120"/>
      </w:pPr>
      <w:bookmarkStart w:id="32" w:name="_LarkToc00032"/>
      <w:r>
        <w:rPr>
          <w:rFonts w:ascii="Times New Roman" w:hAnsi="Times New Roman" w:eastAsia="黑体"/>
          <w:b/>
          <w:color w:val="000000"/>
          <w:sz w:val="32"/>
        </w:rPr>
        <w:t>11  风险与约束</w:t>
      </w:r>
      <w:bookmarkEnd w:id="32"/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业务合规风险：基座只提供合规框架，业务合规审核由子平台与专业人员完成，基座不承担业务合规责任；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需求膨胀风险：子平台容易把业务需求提交到基座；需需求评审，业务类需求退回子平台自行实现，仅通用公共能力进入基座；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版本兼容风险：基座升级必须保证向下兼容，减少子平台改造成本；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资源风险：随着接入智能体数量变多，算力、向量存储需预留扩容空间。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e8259ca07088b806e058e8e0305982aae4a4dae8e4d2c7ab2de5864fdce2e65c:3e7b931706d70e401a4425c31d379632047cbb54f0a75ea36f4940d2c2938afd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