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6"/>
        </w:rPr>
        <w:t>Response to PM Feedback — Mock System Review</w:t>
      </w:r>
    </w:p>
    <w:p>
      <w:r>
        <w:rPr>
          <w:i/>
        </w:rPr>
        <w:t xml:space="preserve">Itemised response to the PM's feedback note </w:t>
      </w:r>
      <w:r>
        <w:rPr>
          <w:i/>
        </w:rPr>
        <w:t>"Mistakes / risks from the mock system".</w:t>
      </w:r>
    </w:p>
    <w:p>
      <w:r>
        <w:rPr>
          <w:i/>
        </w:rPr>
        <w:t>Date: 2026-05-20    ·    Author: Viet Anh</w:t>
      </w:r>
    </w:p>
    <w:p>
      <w:pPr>
        <w:pStyle w:val="Heading1"/>
      </w:pPr>
      <w:r>
        <w:rPr>
          <w:color w:val="1F3656"/>
        </w:rPr>
        <w:t>Summary</w:t>
      </w:r>
    </w:p>
    <w:p>
      <w:r>
        <w:rPr>
          <w:i w:val="0"/>
        </w:rPr>
        <w:t>Thirteen issues were raised in the feedback note. Six were classified as critical (compliance-grade or fundamental functionality gaps) and were resolved in the same session before continuing to Phase D. Three are scheduled into Phase D as part of the planned VAT and period-close work. Three more are scheduled into Phase E as part of the operability and polish work. One (multi-company UI) is tracked but not yet scheduled.</w:t>
      </w:r>
    </w:p>
    <w:p>
      <w:pPr>
        <w:pStyle w:val="Heading1"/>
      </w:pPr>
      <w:r>
        <w:rPr>
          <w:color w:val="1F3656"/>
        </w:rPr>
        <w:t>Disposition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Issue (one-line)</w:t>
            </w:r>
          </w:p>
        </w:tc>
        <w:tc>
          <w:tcPr>
            <w:tcW w:type="dxa" w:w="2880"/>
          </w:tcPr>
          <w:p>
            <w:r>
              <w:rPr>
                <w:b/>
              </w:rPr>
              <w:t>Disposition</w:t>
            </w:r>
          </w:p>
        </w:tc>
      </w:tr>
      <w:tr>
        <w:tc>
          <w:tcPr>
            <w:tcW w:type="dxa" w:w="2880"/>
          </w:tcPr>
          <w:p>
            <w:pPr>
              <w:spacing w:after="40"/>
            </w:pPr>
            <w:r>
              <w:t>1</w:t>
            </w:r>
          </w:p>
        </w:tc>
        <w:tc>
          <w:tcPr>
            <w:tcW w:type="dxa" w:w="2880"/>
          </w:tcPr>
          <w:p>
            <w:pPr>
              <w:spacing w:after="40"/>
            </w:pPr>
            <w:r>
              <w:t>GR/IR classified as Trade Payable</w:t>
            </w:r>
          </w:p>
        </w:tc>
        <w:tc>
          <w:tcPr>
            <w:tcW w:type="dxa" w:w="2880"/>
          </w:tcPr>
          <w:p>
            <w:pPr>
              <w:spacing w:after="40"/>
            </w:pPr>
            <w:r>
              <w:t>Shipped 2026-05-20</w:t>
            </w:r>
          </w:p>
        </w:tc>
      </w:tr>
      <w:tr>
        <w:tc>
          <w:tcPr>
            <w:tcW w:type="dxa" w:w="2880"/>
          </w:tcPr>
          <w:p>
            <w:pPr>
              <w:spacing w:after="40"/>
            </w:pPr>
            <w:r>
              <w:t>2</w:t>
            </w:r>
          </w:p>
        </w:tc>
        <w:tc>
          <w:tcPr>
            <w:tcW w:type="dxa" w:w="2880"/>
          </w:tcPr>
          <w:p>
            <w:pPr>
              <w:spacing w:after="40"/>
            </w:pPr>
            <w:r>
              <w:t>Input VAT tax point rule (UAE Article 25)</w:t>
            </w:r>
          </w:p>
        </w:tc>
        <w:tc>
          <w:tcPr>
            <w:tcW w:type="dxa" w:w="2880"/>
          </w:tcPr>
          <w:p>
            <w:pPr>
              <w:spacing w:after="40"/>
            </w:pPr>
            <w:r>
              <w:t>Phase D</w:t>
            </w:r>
          </w:p>
        </w:tc>
      </w:tr>
      <w:tr>
        <w:tc>
          <w:tcPr>
            <w:tcW w:type="dxa" w:w="2880"/>
          </w:tcPr>
          <w:p>
            <w:pPr>
              <w:spacing w:after="40"/>
            </w:pPr>
            <w:r>
              <w:t>3</w:t>
            </w:r>
          </w:p>
        </w:tc>
        <w:tc>
          <w:tcPr>
            <w:tcW w:type="dxa" w:w="2880"/>
          </w:tcPr>
          <w:p>
            <w:pPr>
              <w:spacing w:after="40"/>
            </w:pPr>
            <w:r>
              <w:t>No reverse-charge VAT mechanism</w:t>
            </w:r>
          </w:p>
        </w:tc>
        <w:tc>
          <w:tcPr>
            <w:tcW w:type="dxa" w:w="2880"/>
          </w:tcPr>
          <w:p>
            <w:pPr>
              <w:spacing w:after="40"/>
            </w:pPr>
            <w:r>
              <w:t>Phase D</w:t>
            </w:r>
          </w:p>
        </w:tc>
      </w:tr>
      <w:tr>
        <w:tc>
          <w:tcPr>
            <w:tcW w:type="dxa" w:w="2880"/>
          </w:tcPr>
          <w:p>
            <w:pPr>
              <w:spacing w:after="40"/>
            </w:pPr>
            <w:r>
              <w:t>4</w:t>
            </w:r>
          </w:p>
        </w:tc>
        <w:tc>
          <w:tcPr>
            <w:tcW w:type="dxa" w:w="2880"/>
          </w:tcPr>
          <w:p>
            <w:pPr>
              <w:spacing w:after="40"/>
            </w:pPr>
            <w:r>
              <w:t>No JE reversal mechanism</w:t>
            </w:r>
          </w:p>
        </w:tc>
        <w:tc>
          <w:tcPr>
            <w:tcW w:type="dxa" w:w="2880"/>
          </w:tcPr>
          <w:p>
            <w:pPr>
              <w:spacing w:after="40"/>
            </w:pPr>
            <w:r>
              <w:t>Shipped 2026-05-20</w:t>
            </w:r>
          </w:p>
        </w:tc>
      </w:tr>
      <w:tr>
        <w:tc>
          <w:tcPr>
            <w:tcW w:type="dxa" w:w="2880"/>
          </w:tcPr>
          <w:p>
            <w:pPr>
              <w:spacing w:after="40"/>
            </w:pPr>
            <w:r>
              <w:t>5</w:t>
            </w:r>
          </w:p>
        </w:tc>
        <w:tc>
          <w:tcPr>
            <w:tcW w:type="dxa" w:w="2880"/>
          </w:tcPr>
          <w:p>
            <w:pPr>
              <w:spacing w:after="40"/>
            </w:pPr>
            <w:r>
              <w:t>No Trial Balance report</w:t>
            </w:r>
          </w:p>
        </w:tc>
        <w:tc>
          <w:tcPr>
            <w:tcW w:type="dxa" w:w="2880"/>
          </w:tcPr>
          <w:p>
            <w:pPr>
              <w:spacing w:after="40"/>
            </w:pPr>
            <w:r>
              <w:t>Shipped 2026-05-20</w:t>
            </w:r>
          </w:p>
        </w:tc>
      </w:tr>
      <w:tr>
        <w:tc>
          <w:tcPr>
            <w:tcW w:type="dxa" w:w="2880"/>
          </w:tcPr>
          <w:p>
            <w:pPr>
              <w:spacing w:after="40"/>
            </w:pPr>
            <w:r>
              <w:t>6</w:t>
            </w:r>
          </w:p>
        </w:tc>
        <w:tc>
          <w:tcPr>
            <w:tcW w:type="dxa" w:w="2880"/>
          </w:tcPr>
          <w:p>
            <w:pPr>
              <w:spacing w:after="40"/>
            </w:pPr>
            <w:r>
              <w:t>Period close deferred too late</w:t>
            </w:r>
          </w:p>
        </w:tc>
        <w:tc>
          <w:tcPr>
            <w:tcW w:type="dxa" w:w="2880"/>
          </w:tcPr>
          <w:p>
            <w:pPr>
              <w:spacing w:after="40"/>
            </w:pPr>
            <w:r>
              <w:t>Promoted to Phase D.5</w:t>
            </w:r>
          </w:p>
        </w:tc>
      </w:tr>
      <w:tr>
        <w:tc>
          <w:tcPr>
            <w:tcW w:type="dxa" w:w="2880"/>
          </w:tcPr>
          <w:p>
            <w:pPr>
              <w:spacing w:after="40"/>
            </w:pPr>
            <w:r>
              <w:t>7</w:t>
            </w:r>
          </w:p>
        </w:tc>
        <w:tc>
          <w:tcPr>
            <w:tcW w:type="dxa" w:w="2880"/>
          </w:tcPr>
          <w:p>
            <w:pPr>
              <w:spacing w:after="40"/>
            </w:pPr>
            <w:r>
              <w:t>No multi-company UI</w:t>
            </w:r>
          </w:p>
        </w:tc>
        <w:tc>
          <w:tcPr>
            <w:tcW w:type="dxa" w:w="2880"/>
          </w:tcPr>
          <w:p>
            <w:pPr>
              <w:spacing w:after="40"/>
            </w:pPr>
            <w:r>
              <w:t>Tracked, no phase yet</w:t>
            </w:r>
          </w:p>
        </w:tc>
      </w:tr>
      <w:tr>
        <w:tc>
          <w:tcPr>
            <w:tcW w:type="dxa" w:w="2880"/>
          </w:tcPr>
          <w:p>
            <w:pPr>
              <w:spacing w:after="40"/>
            </w:pPr>
            <w:r>
              <w:t>8</w:t>
            </w:r>
          </w:p>
        </w:tc>
        <w:tc>
          <w:tcPr>
            <w:tcW w:type="dxa" w:w="2880"/>
          </w:tcPr>
          <w:p>
            <w:pPr>
              <w:spacing w:after="40"/>
            </w:pPr>
            <w:r>
              <w:t>No Biological Assets fair-value P&amp;L line (IAS 41)</w:t>
            </w:r>
          </w:p>
        </w:tc>
        <w:tc>
          <w:tcPr>
            <w:tcW w:type="dxa" w:w="2880"/>
          </w:tcPr>
          <w:p>
            <w:pPr>
              <w:spacing w:after="40"/>
            </w:pPr>
            <w:r>
              <w:t>Phase E</w:t>
            </w:r>
          </w:p>
        </w:tc>
      </w:tr>
      <w:tr>
        <w:tc>
          <w:tcPr>
            <w:tcW w:type="dxa" w:w="2880"/>
          </w:tcPr>
          <w:p>
            <w:pPr>
              <w:spacing w:after="40"/>
            </w:pPr>
            <w:r>
              <w:t>9</w:t>
            </w:r>
          </w:p>
        </w:tc>
        <w:tc>
          <w:tcPr>
            <w:tcW w:type="dxa" w:w="2880"/>
          </w:tcPr>
          <w:p>
            <w:pPr>
              <w:spacing w:after="40"/>
            </w:pPr>
            <w:r>
              <w:t>Direct Labour EOSB in OpEx not COGS (IAS 2)</w:t>
            </w:r>
          </w:p>
        </w:tc>
        <w:tc>
          <w:tcPr>
            <w:tcW w:type="dxa" w:w="2880"/>
          </w:tcPr>
          <w:p>
            <w:pPr>
              <w:spacing w:after="40"/>
            </w:pPr>
            <w:r>
              <w:t>Phase E</w:t>
            </w:r>
          </w:p>
        </w:tc>
      </w:tr>
      <w:tr>
        <w:tc>
          <w:tcPr>
            <w:tcW w:type="dxa" w:w="2880"/>
          </w:tcPr>
          <w:p>
            <w:pPr>
              <w:spacing w:after="40"/>
            </w:pPr>
            <w:r>
              <w:t>10</w:t>
            </w:r>
          </w:p>
        </w:tc>
        <w:tc>
          <w:tcPr>
            <w:tcW w:type="dxa" w:w="2880"/>
          </w:tcPr>
          <w:p>
            <w:pPr>
              <w:spacing w:after="40"/>
            </w:pPr>
            <w:r>
              <w:t>No Rounding Differences account</w:t>
            </w:r>
          </w:p>
        </w:tc>
        <w:tc>
          <w:tcPr>
            <w:tcW w:type="dxa" w:w="2880"/>
          </w:tcPr>
          <w:p>
            <w:pPr>
              <w:spacing w:after="40"/>
            </w:pPr>
            <w:r>
              <w:t>Shipped 2026-05-20</w:t>
            </w:r>
          </w:p>
        </w:tc>
      </w:tr>
      <w:tr>
        <w:tc>
          <w:tcPr>
            <w:tcW w:type="dxa" w:w="2880"/>
          </w:tcPr>
          <w:p>
            <w:pPr>
              <w:spacing w:after="40"/>
            </w:pPr>
            <w:r>
              <w:t>11</w:t>
            </w:r>
          </w:p>
        </w:tc>
        <w:tc>
          <w:tcPr>
            <w:tcW w:type="dxa" w:w="2880"/>
          </w:tcPr>
          <w:p>
            <w:pPr>
              <w:spacing w:after="40"/>
            </w:pPr>
            <w:r>
              <w:t>Per-item valuation method violates IAS 2</w:t>
            </w:r>
          </w:p>
        </w:tc>
        <w:tc>
          <w:tcPr>
            <w:tcW w:type="dxa" w:w="2880"/>
          </w:tcPr>
          <w:p>
            <w:pPr>
              <w:spacing w:after="40"/>
            </w:pPr>
            <w:r>
              <w:t>Shipped 2026-05-20</w:t>
            </w:r>
          </w:p>
        </w:tc>
      </w:tr>
      <w:tr>
        <w:tc>
          <w:tcPr>
            <w:tcW w:type="dxa" w:w="2880"/>
          </w:tcPr>
          <w:p>
            <w:pPr>
              <w:spacing w:after="40"/>
            </w:pPr>
            <w:r>
              <w:t>12</w:t>
            </w:r>
          </w:p>
        </w:tc>
        <w:tc>
          <w:tcPr>
            <w:tcW w:type="dxa" w:w="2880"/>
          </w:tcPr>
          <w:p>
            <w:pPr>
              <w:spacing w:after="40"/>
            </w:pPr>
            <w:r>
              <w:t>Purchase Price Variance missing from seed</w:t>
            </w:r>
          </w:p>
        </w:tc>
        <w:tc>
          <w:tcPr>
            <w:tcW w:type="dxa" w:w="2880"/>
          </w:tcPr>
          <w:p>
            <w:pPr>
              <w:spacing w:after="40"/>
            </w:pPr>
            <w:r>
              <w:t>Shipped 2026-05-20</w:t>
            </w:r>
          </w:p>
        </w:tc>
      </w:tr>
      <w:tr>
        <w:tc>
          <w:tcPr>
            <w:tcW w:type="dxa" w:w="2880"/>
          </w:tcPr>
          <w:p>
            <w:pPr>
              <w:spacing w:after="40"/>
            </w:pPr>
            <w:r>
              <w:t>13</w:t>
            </w:r>
          </w:p>
        </w:tc>
        <w:tc>
          <w:tcPr>
            <w:tcW w:type="dxa" w:w="2880"/>
          </w:tcPr>
          <w:p>
            <w:pPr>
              <w:spacing w:after="40"/>
            </w:pPr>
            <w:r>
              <w:t>Native dropdown jumps to selected on reopen</w:t>
            </w:r>
          </w:p>
        </w:tc>
        <w:tc>
          <w:tcPr>
            <w:tcW w:type="dxa" w:w="2880"/>
          </w:tcPr>
          <w:p>
            <w:pPr>
              <w:spacing w:after="40"/>
            </w:pPr>
            <w:r>
              <w:t>Phase E</w:t>
            </w:r>
          </w:p>
        </w:tc>
      </w:tr>
    </w:tbl>
    <w:p/>
    <w:p>
      <w:pPr>
        <w:pStyle w:val="Heading1"/>
      </w:pPr>
      <w:r>
        <w:rPr>
          <w:color w:val="1F3656"/>
        </w:rPr>
        <w:t>Shipped in this session (six items)</w:t>
      </w:r>
    </w:p>
    <w:p>
      <w:pPr>
        <w:pStyle w:val="Heading2"/>
      </w:pPr>
      <w:r>
        <w:rPr>
          <w:color w:val="1F3656"/>
        </w:rPr>
        <w:t>Item 1. GR/IR classified as Trade Payable</w:t>
      </w:r>
    </w:p>
    <w:p>
      <w:r>
        <w:rPr>
          <w:b/>
        </w:rPr>
        <w:t xml:space="preserve">Status: </w:t>
      </w:r>
      <w:r>
        <w:rPr>
          <w:b/>
          <w:color w:val="108237"/>
        </w:rPr>
        <w:t>Shipped 2026-05-20</w:t>
      </w:r>
    </w:p>
    <w:p>
      <w:r>
        <w:rPr>
          <w:i w:val="0"/>
        </w:rPr>
      </w:r>
    </w:p>
    <w:p>
      <w:r>
        <w:rPr>
          <w:b/>
        </w:rPr>
        <w:t xml:space="preserve">Raised: </w:t>
      </w:r>
      <w:r>
        <w:t>The Goods Received Not Invoiced account (221000-002) was placed under the Trade Payables (221000) header. GR/IR is an accrued liability — goods have arrived but no formal vendor invoice exists yet. Putting it under Trade Payables corrupts the AP aging report and the sub-ledger reconciliation.</w:t>
      </w:r>
    </w:p>
    <w:p>
      <w:r>
        <w:rPr>
          <w:b/>
        </w:rPr>
        <w:t xml:space="preserve">Response: </w:t>
      </w:r>
      <w:r>
        <w:t>Created a new accrued-liabilities section 223000 Accruals &amp; Deferred Income and added 223000-004 Goods Received Not Invoiced under it. The old 221000-002 account was deactivated (isActive=false) — not deleted, because historical journal entries reference it and deletion would break audit traceability. The existing Posting Setup row was automatically migrated to point at the new account. New deployments pick up the correct structure via the updated seed loader (default_coa.py + seed_loader.py).</w:t>
      </w:r>
    </w:p>
    <w:p/>
    <w:p>
      <w:pPr>
        <w:pStyle w:val="Heading2"/>
      </w:pPr>
      <w:r>
        <w:rPr>
          <w:color w:val="1F3656"/>
        </w:rPr>
        <w:t>Item 4. No JE reversal mechanism</w:t>
      </w:r>
    </w:p>
    <w:p>
      <w:r>
        <w:rPr>
          <w:b/>
        </w:rPr>
        <w:t xml:space="preserve">Status: </w:t>
      </w:r>
      <w:r>
        <w:rPr>
          <w:b/>
          <w:color w:val="108237"/>
        </w:rPr>
        <w:t>Shipped 2026-05-20</w:t>
      </w:r>
    </w:p>
    <w:p>
      <w:r>
        <w:rPr>
          <w:i w:val="0"/>
        </w:rPr>
      </w:r>
    </w:p>
    <w:p>
      <w:r>
        <w:rPr>
          <w:b/>
        </w:rPr>
        <w:t xml:space="preserve">Raised: </w:t>
      </w:r>
      <w:r>
        <w:t>Standard accounting requires reversing a wrong journal entry with an offsetting JE that references the original — never delete or edit. The system had no such action. Schema columns existed (status='void', voidedBy, voidedAt, voidReason) but no API to flip them.</w:t>
      </w:r>
    </w:p>
    <w:p>
      <w:r>
        <w:rPr>
          <w:b/>
        </w:rPr>
        <w:t xml:space="preserve">Response: </w:t>
      </w:r>
      <w:r>
        <w:t>New endpoint POST /api/v1/finance/journal-entries/{jeId}/reverse + a Reverse Entry button on the JE detail view. The action: (1) loads the original JE; (2) refuses if already void; (3) ensures a current open fiscal period exists; (4) inserts a new JE with debits and credits swapped, with sourceDocId pointing back to the original; (5) flips the original to void with voidedBy/voidedAt/voidReason recorded. Reason is required, 5-500 chars. Restricted to finance_admin / admin / super_admin. The reversal posts in today's date so it cannot be used to back-date corrections into closed periods.</w:t>
      </w:r>
    </w:p>
    <w:p/>
    <w:p>
      <w:pPr>
        <w:pStyle w:val="Heading2"/>
      </w:pPr>
      <w:r>
        <w:rPr>
          <w:color w:val="1F3656"/>
        </w:rPr>
        <w:t>Item 5. No Trial Balance report</w:t>
      </w:r>
    </w:p>
    <w:p>
      <w:r>
        <w:rPr>
          <w:b/>
        </w:rPr>
        <w:t xml:space="preserve">Status: </w:t>
      </w:r>
      <w:r>
        <w:rPr>
          <w:b/>
          <w:color w:val="108237"/>
        </w:rPr>
        <w:t>Shipped 2026-05-20</w:t>
      </w:r>
    </w:p>
    <w:p>
      <w:r>
        <w:rPr>
          <w:i w:val="0"/>
        </w:rPr>
      </w:r>
    </w:p>
    <w:p>
      <w:r>
        <w:rPr>
          <w:b/>
        </w:rPr>
        <w:t xml:space="preserve">Raised: </w:t>
      </w:r>
      <w:r>
        <w:t>A trial balance is the foundational accountant view — every account's net debit/credit balance as of a date. Auditors and accountants ask for it first. The system had no such report.</w:t>
      </w:r>
    </w:p>
    <w:p>
      <w:r>
        <w:rPr>
          <w:b/>
        </w:rPr>
        <w:t xml:space="preserve">Response: </w:t>
      </w:r>
      <w:r>
        <w:t>New endpoint GET /api/v1/finance/reports/trial-balance + a Trial Balance page in the Finance sidebar. Aggregates journal_entry_lines by account with filters for company, as-of date, period, and include-voided. Includes accounts with zero activity so accountants see the full CoA. Footer validates total debits equal total credits — if not, the page surfaces a red 'books out of balance' warning. SQL uses a subquery aggregation to handle the LEFT JOIN edge cases correctly.</w:t>
      </w:r>
    </w:p>
    <w:p/>
    <w:p>
      <w:pPr>
        <w:pStyle w:val="Heading2"/>
      </w:pPr>
      <w:r>
        <w:rPr>
          <w:color w:val="1F3656"/>
        </w:rPr>
        <w:t>Item 10. No Rounding Differences account in the seed CoA</w:t>
      </w:r>
    </w:p>
    <w:p>
      <w:r>
        <w:rPr>
          <w:b/>
        </w:rPr>
        <w:t xml:space="preserve">Status: </w:t>
      </w:r>
      <w:r>
        <w:rPr>
          <w:b/>
          <w:color w:val="108237"/>
        </w:rPr>
        <w:t>Shipped 2026-05-20</w:t>
      </w:r>
    </w:p>
    <w:p>
      <w:r>
        <w:rPr>
          <w:i w:val="0"/>
        </w:rPr>
      </w:r>
    </w:p>
    <w:p>
      <w:r>
        <w:rPr>
          <w:b/>
        </w:rPr>
        <w:t xml:space="preserve">Raised: </w:t>
      </w:r>
      <w:r>
        <w:t>The Posting Setup page exposes a Rounding Differences field, but the seed CoA had no matching account for users to point it at.</w:t>
      </w:r>
    </w:p>
    <w:p>
      <w:r>
        <w:rPr>
          <w:b/>
        </w:rPr>
        <w:t xml:space="preserve">Response: </w:t>
      </w:r>
      <w:r>
        <w:t>Added 617000-011 Rounding Differences (Operating Cost · General &amp; Administrative) to the seed loader and inserted into the dev DB.</w:t>
      </w:r>
    </w:p>
    <w:p/>
    <w:p>
      <w:pPr>
        <w:pStyle w:val="Heading2"/>
      </w:pPr>
      <w:r>
        <w:rPr>
          <w:color w:val="1F3656"/>
        </w:rPr>
        <w:t>Item 11. Per-item valuation method violates IAS 2 consistency</w:t>
      </w:r>
    </w:p>
    <w:p>
      <w:r>
        <w:rPr>
          <w:b/>
        </w:rPr>
        <w:t xml:space="preserve">Status: </w:t>
      </w:r>
      <w:r>
        <w:rPr>
          <w:b/>
          <w:color w:val="108237"/>
        </w:rPr>
        <w:t>Shipped 2026-05-20</w:t>
      </w:r>
    </w:p>
    <w:p>
      <w:r>
        <w:rPr>
          <w:i w:val="0"/>
        </w:rPr>
      </w:r>
    </w:p>
    <w:p>
      <w:r>
        <w:rPr>
          <w:b/>
        </w:rPr>
        <w:t xml:space="preserve">Raised: </w:t>
      </w:r>
      <w:r>
        <w:t>IAS 2 requires the same cost formula across inventories of similar nature and use. The Item GL Mapping page exposed Moving Average / Standard / FIFO per item — users could pick FIFO on one seed and Moving Average on another. That is an audit finding.</w:t>
      </w:r>
    </w:p>
    <w:p>
      <w:r>
        <w:rPr>
          <w:b/>
        </w:rPr>
        <w:t xml:space="preserve">Response: </w:t>
      </w:r>
      <w:r>
        <w:t>Removed the Valuation Method column from the Item Mapping page. Added a new Inventory Valuation section to the Posting Setup page with a single company-level choice (defaultValuationMethod). The field moved from purchase_item_finance_ext to company_posting_setup. The per-item column is preserved in the data model for backward compatibility but is no longer editable and no longer authoritative.</w:t>
      </w:r>
    </w:p>
    <w:p/>
    <w:p>
      <w:pPr>
        <w:pStyle w:val="Heading2"/>
      </w:pPr>
      <w:r>
        <w:rPr>
          <w:color w:val="1F3656"/>
        </w:rPr>
        <w:t>Item 12. Purchase Price Variance account missing from seed</w:t>
      </w:r>
    </w:p>
    <w:p>
      <w:r>
        <w:rPr>
          <w:b/>
        </w:rPr>
        <w:t xml:space="preserve">Status: </w:t>
      </w:r>
      <w:r>
        <w:rPr>
          <w:b/>
          <w:color w:val="108237"/>
        </w:rPr>
        <w:t>Shipped 2026-05-20</w:t>
      </w:r>
    </w:p>
    <w:p>
      <w:r>
        <w:rPr>
          <w:i w:val="0"/>
        </w:rPr>
      </w:r>
    </w:p>
    <w:p>
      <w:r>
        <w:rPr>
          <w:b/>
        </w:rPr>
        <w:t xml:space="preserve">Raised: </w:t>
      </w:r>
      <w:r>
        <w:t>Phase C posting handler needs a Purchase Price Variance GL account to absorb the difference when vendor invoice price differs from PO price. The seed CoA had no such account. The dev doc had noted 'leave PPV blank in v1, add in Phase C' — but the account itself didn't exist anywhere yet.</w:t>
      </w:r>
    </w:p>
    <w:p>
      <w:r>
        <w:rPr>
          <w:b/>
        </w:rPr>
        <w:t xml:space="preserve">Response: </w:t>
      </w:r>
      <w:r>
        <w:t>Added 514000-004 Purchase Price Variance (Cost of Sales · Inventory Adjustments) to the seed loader. Already inserted into the dev DB ahead of Phase C, so the AP Invoice posting handler can resolve to it correctly. Posting Setup field purchasePriceVarianceAccountId can now be populated with this account.</w:t>
      </w:r>
    </w:p>
    <w:p/>
    <w:p>
      <w:pPr>
        <w:pStyle w:val="Heading1"/>
      </w:pPr>
      <w:r>
        <w:rPr>
          <w:color w:val="1F3656"/>
        </w:rPr>
        <w:t>Scheduled into Phase D (three items)</w:t>
      </w:r>
    </w:p>
    <w:p>
      <w:pPr>
        <w:pStyle w:val="Heading2"/>
      </w:pPr>
      <w:r>
        <w:rPr>
          <w:color w:val="1F3656"/>
        </w:rPr>
        <w:t>Item 2. Input VAT date does not follow UAE Article 25</w:t>
      </w:r>
    </w:p>
    <w:p>
      <w:r>
        <w:rPr>
          <w:b/>
        </w:rPr>
        <w:t xml:space="preserve">Status: </w:t>
      </w:r>
      <w:r>
        <w:rPr>
          <w:b/>
          <w:color w:val="B45309"/>
        </w:rPr>
        <w:t>Phase D</w:t>
      </w:r>
    </w:p>
    <w:p>
      <w:r>
        <w:rPr>
          <w:i w:val="0"/>
        </w:rPr>
      </w:r>
    </w:p>
    <w:p>
      <w:r>
        <w:rPr>
          <w:b/>
        </w:rPr>
        <w:t xml:space="preserve">Raised: </w:t>
      </w:r>
      <w:r>
        <w:t>UAE VAT Decree-Law Article 25 defines the tax point as the earliest of: date of supply, date of invoice, date of payment, or partial-payment date. The current AP Invoice handler uses the invoice date alone.</w:t>
      </w:r>
    </w:p>
    <w:p>
      <w:r>
        <w:rPr>
          <w:b/>
        </w:rPr>
        <w:t xml:space="preserve">Response: </w:t>
      </w:r>
      <w:r>
        <w:t>Phase D will carry both the date of supply (GR date) and the invoice date through the contract. The posting handler will resolve the tax point as min(grDate, invoiceDate, paymentDate-if-any) and store the resolved value on the JE for VAT-return reporting.</w:t>
      </w:r>
    </w:p>
    <w:p/>
    <w:p>
      <w:pPr>
        <w:pStyle w:val="Heading2"/>
      </w:pPr>
      <w:r>
        <w:rPr>
          <w:color w:val="1F3656"/>
        </w:rPr>
        <w:t>Item 3. No reverse-charge VAT mechanism</w:t>
      </w:r>
    </w:p>
    <w:p>
      <w:r>
        <w:rPr>
          <w:b/>
        </w:rPr>
        <w:t xml:space="preserve">Status: </w:t>
      </w:r>
      <w:r>
        <w:rPr>
          <w:b/>
          <w:color w:val="B45309"/>
        </w:rPr>
        <w:t>Phase D</w:t>
      </w:r>
    </w:p>
    <w:p>
      <w:r>
        <w:rPr>
          <w:i w:val="0"/>
        </w:rPr>
      </w:r>
    </w:p>
    <w:p>
      <w:r>
        <w:rPr>
          <w:b/>
        </w:rPr>
        <w:t xml:space="preserve">Raised: </w:t>
      </w:r>
      <w:r>
        <w:t>Reverse charge is mandatory for UAE imports of services and designated-zone scenarios. The buyer self-accounts: DR Input VAT + CR Output VAT, same amount, same line. The SR tax code exists in the seed but the posting handler treats it like normal VAT — only a DR Input VAT line is created.</w:t>
      </w:r>
    </w:p>
    <w:p>
      <w:r>
        <w:rPr>
          <w:b/>
        </w:rPr>
        <w:t xml:space="preserve">Response: </w:t>
      </w:r>
      <w:r>
        <w:t>Phase D will: (a) add an isReverseCharge flag to the tax_codes table; (b) extend the AP Invoice handler to detect reverse-charge lines; (c) post a balancing CR Output VAT for the same amount in addition to the standard DR Input VAT. Net effect on the books is zero VAT cash, but both sides are recorded for compliance.</w:t>
      </w:r>
    </w:p>
    <w:p/>
    <w:p>
      <w:pPr>
        <w:pStyle w:val="Heading2"/>
      </w:pPr>
      <w:r>
        <w:rPr>
          <w:color w:val="1F3656"/>
        </w:rPr>
        <w:t>Item 6. Period close deferred too late</w:t>
      </w:r>
    </w:p>
    <w:p>
      <w:r>
        <w:rPr>
          <w:b/>
        </w:rPr>
        <w:t xml:space="preserve">Status: </w:t>
      </w:r>
      <w:r>
        <w:rPr>
          <w:b/>
          <w:color w:val="B45309"/>
        </w:rPr>
        <w:t>Phase D.5</w:t>
      </w:r>
    </w:p>
    <w:p>
      <w:r>
        <w:rPr>
          <w:i w:val="0"/>
        </w:rPr>
      </w:r>
    </w:p>
    <w:p>
      <w:r>
        <w:rPr>
          <w:b/>
        </w:rPr>
        <w:t xml:space="preserve">Raised: </w:t>
      </w:r>
      <w:r>
        <w:t>Period close + audit lock was scheduled in Phase E. The PM noted audit lock is a control and should not be delayed.</w:t>
      </w:r>
    </w:p>
    <w:p>
      <w:r>
        <w:rPr>
          <w:b/>
        </w:rPr>
        <w:t xml:space="preserve">Response: </w:t>
      </w:r>
      <w:r>
        <w:t>Promoted to Phase D.5 (immediately after Payment in Phase D). The _resolve_fiscal_period_or_raise helper will refuse postings to closed periods. The UI to open/close periods uses the data model and enum that already exist.</w:t>
      </w:r>
    </w:p>
    <w:p/>
    <w:p>
      <w:pPr>
        <w:pStyle w:val="Heading1"/>
      </w:pPr>
      <w:r>
        <w:rPr>
          <w:color w:val="1F3656"/>
        </w:rPr>
        <w:t>Scheduled into Phase E (three items)</w:t>
      </w:r>
    </w:p>
    <w:p>
      <w:pPr>
        <w:pStyle w:val="Heading2"/>
      </w:pPr>
      <w:r>
        <w:rPr>
          <w:color w:val="1F3656"/>
        </w:rPr>
        <w:t>Item 8. No Biological Assets fair-value remeasurement line</w:t>
      </w:r>
    </w:p>
    <w:p>
      <w:r>
        <w:rPr>
          <w:b/>
        </w:rPr>
        <w:t xml:space="preserve">Status: </w:t>
      </w:r>
      <w:r>
        <w:rPr>
          <w:b/>
          <w:color w:val="6B7280"/>
        </w:rPr>
        <w:t>Phase E</w:t>
      </w:r>
    </w:p>
    <w:p>
      <w:r>
        <w:rPr>
          <w:i w:val="0"/>
        </w:rPr>
      </w:r>
    </w:p>
    <w:p>
      <w:r>
        <w:rPr>
          <w:b/>
        </w:rPr>
        <w:t xml:space="preserve">Raised: </w:t>
      </w:r>
      <w:r>
        <w:t>IAS 41 requires biological assets (plants, livestock) to be measured at fair value less costs to sell, with the gain or loss going through P&amp;L. The CoA has no Gain or Loss on Biological Assets account.</w:t>
      </w:r>
    </w:p>
    <w:p>
      <w:r>
        <w:rPr>
          <w:b/>
        </w:rPr>
        <w:t xml:space="preserve">Response: </w:t>
      </w:r>
      <w:r>
        <w:t>Phase E adds 812000-001 Gain on Biological Assets - Fair Value (Other Income) and 514000-005 Loss on Biological Assets - Fair Value (Cost of Sales) to the seed CoA. A new remeasurement event handler will post the fair-value adjustment. Domain-specific to agri.</w:t>
      </w:r>
    </w:p>
    <w:p/>
    <w:p>
      <w:pPr>
        <w:pStyle w:val="Heading2"/>
      </w:pPr>
      <w:r>
        <w:rPr>
          <w:color w:val="1F3656"/>
        </w:rPr>
        <w:t>Item 9. Direct Labour EOSB in OpEx instead of COGS</w:t>
      </w:r>
    </w:p>
    <w:p>
      <w:r>
        <w:rPr>
          <w:b/>
        </w:rPr>
        <w:t xml:space="preserve">Status: </w:t>
      </w:r>
      <w:r>
        <w:rPr>
          <w:b/>
          <w:color w:val="6B7280"/>
        </w:rPr>
        <w:t>Phase E</w:t>
      </w:r>
    </w:p>
    <w:p>
      <w:r>
        <w:rPr>
          <w:i w:val="0"/>
        </w:rPr>
      </w:r>
    </w:p>
    <w:p>
      <w:r>
        <w:rPr>
          <w:b/>
        </w:rPr>
        <w:t xml:space="preserve">Raised: </w:t>
      </w:r>
      <w:r>
        <w:t>Labour Overtime and Labour Benefits sit in 512000 Direct Labour, but 611000-004 End of Service Benefits Expense is under Operating Cost. IAS 2 says direct production labour's full cost — including EOSB accrual — must be capitalised into inventory and flow through COGS, not expensed as OpEx.</w:t>
      </w:r>
    </w:p>
    <w:p>
      <w:r>
        <w:rPr>
          <w:b/>
        </w:rPr>
        <w:t xml:space="preserve">Response: </w:t>
      </w:r>
      <w:r>
        <w:t>Phase E adds 512000-006 Direct Labour - EOSB under the existing 512000 Direct Labour header. Indirect labour EOSB stays in 611000-004. The split allows production labour EOSB to capitalise into inventory consistent with IAS 2.</w:t>
      </w:r>
    </w:p>
    <w:p/>
    <w:p>
      <w:pPr>
        <w:pStyle w:val="Heading2"/>
      </w:pPr>
      <w:r>
        <w:rPr>
          <w:color w:val="1F3656"/>
        </w:rPr>
        <w:t>Item 13. Native dropdown jumps to selected position on reopen</w:t>
      </w:r>
    </w:p>
    <w:p>
      <w:r>
        <w:rPr>
          <w:b/>
        </w:rPr>
        <w:t xml:space="preserve">Status: </w:t>
      </w:r>
      <w:r>
        <w:rPr>
          <w:b/>
          <w:color w:val="6B7280"/>
        </w:rPr>
        <w:t>Phase E</w:t>
      </w:r>
    </w:p>
    <w:p>
      <w:r>
        <w:rPr>
          <w:i w:val="0"/>
        </w:rPr>
      </w:r>
    </w:p>
    <w:p>
      <w:r>
        <w:rPr>
          <w:b/>
        </w:rPr>
        <w:t xml:space="preserve">Raised: </w:t>
      </w:r>
      <w:r>
        <w:t>When a user selects a value from a native HTML select, then reopens it, the browser scrolls the option list so the selected item is in the middle of the visible window. To see other options the user has to scroll up. The PM asked this be consistent — always open from the top of the list.</w:t>
      </w:r>
    </w:p>
    <w:p>
      <w:r>
        <w:rPr>
          <w:b/>
        </w:rPr>
        <w:t xml:space="preserve">Response: </w:t>
      </w:r>
      <w:r>
        <w:t>The AccountCombobox component (used on Posting Setup and Item GL Mapping) already opens from the top because it is a custom typeahead rather than a native select. Phase E replaces remaining native select controls (tax codes, payment terms, company codes) with the same searchable combobox pattern so behaviour is uniform across the app.</w:t>
      </w:r>
    </w:p>
    <w:p/>
    <w:p>
      <w:pPr>
        <w:pStyle w:val="Heading1"/>
      </w:pPr>
      <w:r>
        <w:rPr>
          <w:color w:val="1F3656"/>
        </w:rPr>
        <w:t>Tracked but not yet scheduled (one item)</w:t>
      </w:r>
    </w:p>
    <w:p>
      <w:pPr>
        <w:pStyle w:val="Heading2"/>
      </w:pPr>
      <w:r>
        <w:rPr>
          <w:color w:val="1F3656"/>
        </w:rPr>
        <w:t>Item 7. No multi-company UI</w:t>
      </w:r>
    </w:p>
    <w:p>
      <w:r>
        <w:rPr>
          <w:b/>
        </w:rPr>
        <w:t xml:space="preserve">Status: </w:t>
      </w:r>
      <w:r>
        <w:rPr>
          <w:b/>
          <w:color w:val="6B7280"/>
        </w:rPr>
        <w:t>Tracked</w:t>
      </w:r>
    </w:p>
    <w:p>
      <w:r>
        <w:rPr>
          <w:i w:val="0"/>
        </w:rPr>
      </w:r>
    </w:p>
    <w:p>
      <w:r>
        <w:rPr>
          <w:b/>
        </w:rPr>
        <w:t xml:space="preserve">Raised: </w:t>
      </w:r>
      <w:r>
        <w:t>The PM noted there is no UI for managing multiple companies, and asked whether the architecture supports it in future steps.</w:t>
      </w:r>
    </w:p>
    <w:p>
      <w:r>
        <w:rPr>
          <w:b/>
        </w:rPr>
        <w:t xml:space="preserve">Response: </w:t>
      </w:r>
      <w:r>
        <w:t>The data model is multi-company throughout — every finance table carries companyCode and organizationId. Master data, posting setup, and journal entries are all per-company. The seed creates one company (1000) for the demo. A multi-company UI is not yet scheduled into a phase; it will be prioritised when the first multi-entity customer is onboarded. No data-model changes will be required at that point.</w:t>
      </w:r>
    </w:p>
    <w:p/>
    <w:p>
      <w:pPr>
        <w:pStyle w:val="Heading1"/>
      </w:pPr>
      <w:r>
        <w:rPr>
          <w:color w:val="1F3656"/>
        </w:rPr>
        <w:t>Notes on the disposition</w:t>
      </w:r>
    </w:p>
    <w:p>
      <w:r>
        <w:rPr>
          <w:i w:val="0"/>
        </w:rPr>
        <w:t>All six critical fixes were dispatched and verified end-to-end in the same session as the feedback was received. The roadmap (POSTING_ENGINE_ROADMAP.md, section 4) has been updated to reflect the new phase ordering — in particular Period Close was promoted from Phase E.2 to Phase D.5, immediately after Payment lands. The Posting Engine continues toward Phase D (vendor payment + JE) as the next scheduled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