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656"/>
        </w:rPr>
        <w:t>A64 Core Platform — Finance Module Status Report</w:t>
      </w:r>
    </w:p>
    <w:p>
      <w:r>
        <w:rPr>
          <w:i/>
          <w:sz w:val="22"/>
        </w:rPr>
        <w:t>Prepared for the project manager</w:t>
      </w:r>
    </w:p>
    <w:p>
      <w:r>
        <w:rPr>
          <w:i/>
        </w:rPr>
        <w:t>Date: 2026-05-20</w:t>
      </w:r>
      <w:r>
        <w:rPr>
          <w:i/>
        </w:rPr>
        <w:t xml:space="preserve">    ·    Author: Viet Anh</w:t>
      </w:r>
    </w:p>
    <w:p>
      <w:pPr>
        <w:pStyle w:val="Heading1"/>
      </w:pPr>
      <w:r>
        <w:rPr>
          <w:color w:val="1F3656"/>
        </w:rPr>
        <w:t>Executive Summary</w:t>
      </w:r>
    </w:p>
    <w:p>
      <w:r>
        <w:rPr>
          <w:b w:val="0"/>
          <w:i w:val="0"/>
        </w:rPr>
        <w:t>Construction of the A64 Core Platform finance module is approximately 40% complete on the procure-to-pay (P2P) cycle. The accounting foundation (chart of accounts, approval rules, posting defaults, journal entry tables) and the first half of the transactional cycle (purchase request, purchase order, goods receipt with automatic journal entry posting) are live and demonstrable end-to-end in the development environment. Vendor invoices (with three-way match) and payments remain to be built — those modules are scoped and sequenced.</w:t>
      </w:r>
    </w:p>
    <w:p>
      <w:r>
        <w:rPr>
          <w:b w:val="0"/>
          <w:i w:val="0"/>
        </w:rPr>
        <w:t>The module operates as a separate finance service (FastAPI + MySQL) that communicates with the main operational service (FastAPI + MongoDB) through a transactional outbox pattern. Mongo was migrated to a single-node replica set to make these writes atomic. Customers without finance do not deploy the finance service — operational features continue to work without it.</w:t>
      </w:r>
    </w:p>
    <w:p>
      <w:pPr>
        <w:pStyle w:val="Heading1"/>
      </w:pPr>
      <w:r>
        <w:rPr>
          <w:color w:val="1F3656"/>
        </w:rPr>
        <w:t>What is Working Today</w:t>
      </w:r>
    </w:p>
    <w:p>
      <w:r>
        <w:rPr>
          <w:b w:val="0"/>
          <w:i w:val="0"/>
        </w:rPr>
        <w:t>The following modules and pages are live in the development environment and have been verified end-to-end through a real journal-entry post.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Status</w:t>
            </w:r>
          </w:p>
        </w:tc>
        <w:tc>
          <w:tcPr>
            <w:tcW w:type="dxa" w:w="2880"/>
          </w:tcPr>
          <w:p>
            <w:r>
              <w:rPr>
                <w:b/>
              </w:rPr>
              <w:t>Brief description</w:t>
            </w:r>
          </w:p>
        </w:tc>
      </w:tr>
      <w:tr>
        <w:tc>
          <w:tcPr>
            <w:tcW w:type="dxa" w:w="2880"/>
          </w:tcPr>
          <w:p>
            <w:pPr>
              <w:spacing w:after="40"/>
            </w:pPr>
            <w:r>
              <w:t>Chart of Accounts</w:t>
            </w:r>
          </w:p>
        </w:tc>
        <w:tc>
          <w:tcPr>
            <w:tcW w:type="dxa" w:w="2880"/>
          </w:tcPr>
          <w:p>
            <w:pPr>
              <w:spacing w:after="40"/>
            </w:pPr>
            <w:r>
              <w:t>Live</w:t>
            </w:r>
          </w:p>
        </w:tc>
        <w:tc>
          <w:tcPr>
            <w:tcW w:type="dxa" w:w="2880"/>
          </w:tcPr>
          <w:p>
            <w:pPr>
              <w:spacing w:after="40"/>
            </w:pPr>
            <w:r>
              <w:t>227 GL accounts seeded across 9 IFRS-aligned drawers. Hierarchy view, filtering, create/edit/deactivate. Supports the account_level (drawer/title/active) and account_role classifications used by the posting engine.</w:t>
            </w:r>
          </w:p>
        </w:tc>
      </w:tr>
      <w:tr>
        <w:tc>
          <w:tcPr>
            <w:tcW w:type="dxa" w:w="2880"/>
          </w:tcPr>
          <w:p>
            <w:pPr>
              <w:spacing w:after="40"/>
            </w:pPr>
            <w:r>
              <w:t>Approval Rules</w:t>
            </w:r>
          </w:p>
        </w:tc>
        <w:tc>
          <w:tcPr>
            <w:tcW w:type="dxa" w:w="2880"/>
          </w:tcPr>
          <w:p>
            <w:pPr>
              <w:spacing w:after="40"/>
            </w:pPr>
            <w:r>
              <w:t>Live</w:t>
            </w:r>
          </w:p>
        </w:tc>
        <w:tc>
          <w:tcPr>
            <w:tcW w:type="dxa" w:w="2880"/>
          </w:tcPr>
          <w:p>
            <w:pPr>
              <w:spacing w:after="40"/>
            </w:pPr>
            <w:r>
              <w:t>Configurable per-doc-type approval thresholds with role assignments. Already wired to the operational PR/PO submission flow; the engine queries finance to resolve whether each document needs approval.</w:t>
            </w:r>
          </w:p>
        </w:tc>
      </w:tr>
      <w:tr>
        <w:tc>
          <w:tcPr>
            <w:tcW w:type="dxa" w:w="2880"/>
          </w:tcPr>
          <w:p>
            <w:pPr>
              <w:spacing w:after="40"/>
            </w:pPr>
            <w:r>
              <w:t>Posting Setup</w:t>
            </w:r>
          </w:p>
        </w:tc>
        <w:tc>
          <w:tcPr>
            <w:tcW w:type="dxa" w:w="2880"/>
          </w:tcPr>
          <w:p>
            <w:pPr>
              <w:spacing w:after="40"/>
            </w:pPr>
            <w:r>
              <w:t>Live</w:t>
            </w:r>
          </w:p>
        </w:tc>
        <w:tc>
          <w:tcPr>
            <w:tcW w:type="dxa" w:w="2880"/>
          </w:tcPr>
          <w:p>
            <w:pPr>
              <w:spacing w:after="40"/>
            </w:pPr>
            <w:r>
              <w:t>Controller-facing page where each company maps system events (AP control, bank, GR/IR clearing, input/output VAT, retained earnings, etc.) to specific GL accounts. Without this, the posting engine cannot run.</w:t>
            </w:r>
          </w:p>
        </w:tc>
      </w:tr>
      <w:tr>
        <w:tc>
          <w:tcPr>
            <w:tcW w:type="dxa" w:w="2880"/>
          </w:tcPr>
          <w:p>
            <w:pPr>
              <w:spacing w:after="40"/>
            </w:pPr>
            <w:r>
              <w:t>Item GL Mapping</w:t>
            </w:r>
          </w:p>
        </w:tc>
        <w:tc>
          <w:tcPr>
            <w:tcW w:type="dxa" w:w="2880"/>
          </w:tcPr>
          <w:p>
            <w:pPr>
              <w:spacing w:after="40"/>
            </w:pPr>
            <w:r>
              <w:t>Live</w:t>
            </w:r>
          </w:p>
        </w:tc>
        <w:tc>
          <w:tcPr>
            <w:tcW w:type="dxa" w:w="2880"/>
          </w:tcPr>
          <w:p>
            <w:pPr>
              <w:spacing w:after="40"/>
            </w:pPr>
            <w:r>
              <w:t>Finance-side page where each purchase item is assigned its specific Inventory and Cost-of-Sales GL accounts. Auto-defaults applied on item creation, with manual override per item.</w:t>
            </w:r>
          </w:p>
        </w:tc>
      </w:tr>
      <w:tr>
        <w:tc>
          <w:tcPr>
            <w:tcW w:type="dxa" w:w="2880"/>
          </w:tcPr>
          <w:p>
            <w:pPr>
              <w:spacing w:after="40"/>
            </w:pPr>
            <w:r>
              <w:t>Journal Entries</w:t>
            </w:r>
          </w:p>
        </w:tc>
        <w:tc>
          <w:tcPr>
            <w:tcW w:type="dxa" w:w="2880"/>
          </w:tcPr>
          <w:p>
            <w:pPr>
              <w:spacing w:after="40"/>
            </w:pPr>
            <w:r>
              <w:t>Live</w:t>
            </w:r>
          </w:p>
        </w:tc>
        <w:tc>
          <w:tcPr>
            <w:tcW w:type="dxa" w:w="2880"/>
          </w:tcPr>
          <w:p>
            <w:pPr>
              <w:spacing w:after="40"/>
            </w:pPr>
            <w:r>
              <w:t>Read-only register of every posted JE. Row-expand shows debit and credit lines with account names. Cross-linked from the source operational document.</w:t>
            </w:r>
          </w:p>
        </w:tc>
      </w:tr>
      <w:tr>
        <w:tc>
          <w:tcPr>
            <w:tcW w:type="dxa" w:w="2880"/>
          </w:tcPr>
          <w:p>
            <w:pPr>
              <w:spacing w:after="40"/>
            </w:pPr>
            <w:r>
              <w:t>Goods Receipts (operational)</w:t>
            </w:r>
          </w:p>
        </w:tc>
        <w:tc>
          <w:tcPr>
            <w:tcW w:type="dxa" w:w="2880"/>
          </w:tcPr>
          <w:p>
            <w:pPr>
              <w:spacing w:after="40"/>
            </w:pPr>
            <w:r>
              <w:t>Live</w:t>
            </w:r>
          </w:p>
        </w:tc>
        <w:tc>
          <w:tcPr>
            <w:tcW w:type="dxa" w:w="2880"/>
          </w:tcPr>
          <w:p>
            <w:pPr>
              <w:spacing w:after="40"/>
            </w:pPr>
            <w:r>
              <w:t>Warehouse confirms physical receipt from an open Purchase Order. Posting the GR triggers the first real journal entry — debit inventory, credit GR/IR clearing — in the finance ledger.</w:t>
            </w:r>
          </w:p>
        </w:tc>
      </w:tr>
      <w:tr>
        <w:tc>
          <w:tcPr>
            <w:tcW w:type="dxa" w:w="2880"/>
          </w:tcPr>
          <w:p>
            <w:pPr>
              <w:spacing w:after="40"/>
            </w:pPr>
            <w:r>
              <w:t>P&amp;L Statement</w:t>
            </w:r>
          </w:p>
        </w:tc>
        <w:tc>
          <w:tcPr>
            <w:tcW w:type="dxa" w:w="2880"/>
          </w:tcPr>
          <w:p>
            <w:pPr>
              <w:spacing w:after="40"/>
            </w:pPr>
            <w:r>
              <w:t>Live (existing)</w:t>
            </w:r>
          </w:p>
        </w:tc>
        <w:tc>
          <w:tcPr>
            <w:tcW w:type="dxa" w:w="2880"/>
          </w:tcPr>
          <w:p>
            <w:pPr>
              <w:spacing w:after="40"/>
            </w:pPr>
            <w:r>
              <w:t>Earlier-built P&amp;L page integrated into the new Finance sidebar group.</w:t>
            </w:r>
          </w:p>
        </w:tc>
      </w:tr>
      <w:tr>
        <w:tc>
          <w:tcPr>
            <w:tcW w:type="dxa" w:w="2880"/>
          </w:tcPr>
          <w:p>
            <w:pPr>
              <w:spacing w:after="40"/>
            </w:pPr>
            <w:r>
              <w:t>Incoming Preview</w:t>
            </w:r>
          </w:p>
        </w:tc>
        <w:tc>
          <w:tcPr>
            <w:tcW w:type="dxa" w:w="2880"/>
          </w:tcPr>
          <w:p>
            <w:pPr>
              <w:spacing w:after="40"/>
            </w:pPr>
            <w:r>
              <w:t>Live</w:t>
            </w:r>
          </w:p>
        </w:tc>
        <w:tc>
          <w:tcPr>
            <w:tcW w:type="dxa" w:w="2880"/>
          </w:tcPr>
          <w:p>
            <w:pPr>
              <w:spacing w:after="40"/>
            </w:pPr>
            <w:r>
              <w:t>Finance-side read-through view of operational documents currently in Pending Approval, so finance has visibility into what is about to materialise.</w:t>
            </w:r>
          </w:p>
        </w:tc>
      </w:tr>
      <w:tr>
        <w:tc>
          <w:tcPr>
            <w:tcW w:type="dxa" w:w="2880"/>
          </w:tcPr>
          <w:p>
            <w:pPr>
              <w:spacing w:after="40"/>
            </w:pPr>
            <w:r>
              <w:t>Approval Inbox (purchasing)</w:t>
            </w:r>
          </w:p>
        </w:tc>
        <w:tc>
          <w:tcPr>
            <w:tcW w:type="dxa" w:w="2880"/>
          </w:tcPr>
          <w:p>
            <w:pPr>
              <w:spacing w:after="40"/>
            </w:pPr>
            <w:r>
              <w:t>Live</w:t>
            </w:r>
          </w:p>
        </w:tc>
        <w:tc>
          <w:tcPr>
            <w:tcW w:type="dxa" w:w="2880"/>
          </w:tcPr>
          <w:p>
            <w:pPr>
              <w:spacing w:after="40"/>
            </w:pPr>
            <w:r>
              <w:t>Reviewers see documents awaiting their approval and can decide without leaving the finance workflow.</w:t>
            </w:r>
          </w:p>
        </w:tc>
      </w:tr>
    </w:tbl>
    <w:p/>
    <w:p>
      <w:pPr>
        <w:pStyle w:val="Heading1"/>
      </w:pPr>
      <w:r>
        <w:rPr>
          <w:color w:val="1F3656"/>
        </w:rPr>
        <w:t>Architecture in Brief</w:t>
      </w:r>
    </w:p>
    <w:p>
      <w:pPr>
        <w:pStyle w:val="ListBullet"/>
        <w:ind w:left="425"/>
      </w:pPr>
      <w:r>
        <w:t>Two-service architecture. The main operational service owns workflow documents (PR, PO, GR). The finance service owns accounting documents (JE, AP, Payment) and runs on a separate database (MySQL).</w:t>
      </w:r>
    </w:p>
    <w:p>
      <w:pPr>
        <w:pStyle w:val="ListBullet"/>
        <w:ind w:left="425"/>
      </w:pPr>
      <w:r>
        <w:t>Cross-service communication is one-directional via an outbox pattern. When an operational document reaches a finance-relevant state, the main service writes an event row to a shared queue. A worker drains the queue into the finance service.</w:t>
      </w:r>
    </w:p>
    <w:p>
      <w:pPr>
        <w:pStyle w:val="ListBullet"/>
        <w:ind w:left="425"/>
      </w:pPr>
      <w:r>
        <w:t>All writes are transactional. The operational document update and the outbox event are written atomically (Mongo replica set transactions), so a failed outbox write rolls back the document update. A periodic sweeper provides defence-in-depth against any missed events.</w:t>
      </w:r>
    </w:p>
    <w:p>
      <w:pPr>
        <w:pStyle w:val="ListBullet"/>
        <w:ind w:left="425"/>
      </w:pPr>
      <w:r>
        <w:t>The finance module is opt-in per customer. Customers who do not need accounting deploy only the operational service.</w:t>
      </w:r>
    </w:p>
    <w:p>
      <w:pPr>
        <w:pStyle w:val="ListBullet"/>
        <w:ind w:left="425"/>
      </w:pPr>
      <w:r>
        <w:t>Authentication is shared. Users log in once; the same JWT is accepted by both services.</w:t>
      </w:r>
    </w:p>
    <w:p>
      <w:pPr>
        <w:pStyle w:val="Heading1"/>
      </w:pPr>
      <w:r>
        <w:rPr>
          <w:color w:val="1F3656"/>
        </w:rPr>
        <w:t>Build Phases and Current Position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Scope</w:t>
            </w:r>
          </w:p>
        </w:tc>
        <w:tc>
          <w:tcPr>
            <w:tcW w:type="dxa" w:w="2880"/>
          </w:tcPr>
          <w:p>
            <w:r>
              <w:rPr>
                <w:b/>
              </w:rPr>
              <w:t>Status</w:t>
            </w:r>
          </w:p>
        </w:tc>
      </w:tr>
      <w:tr>
        <w:tc>
          <w:tcPr>
            <w:tcW w:type="dxa" w:w="2880"/>
          </w:tcPr>
          <w:p>
            <w:pPr>
              <w:spacing w:after="40"/>
            </w:pPr>
            <w:r>
              <w:t>Phase 1A (master data)</w:t>
            </w:r>
          </w:p>
        </w:tc>
        <w:tc>
          <w:tcPr>
            <w:tcW w:type="dxa" w:w="2880"/>
          </w:tcPr>
          <w:p>
            <w:pPr>
              <w:spacing w:after="40"/>
            </w:pPr>
            <w:r>
              <w:t>Vendors, items, payment terms, tax codes, fiscal periods, companies, cost centres, chart of accounts.</w:t>
            </w:r>
          </w:p>
        </w:tc>
        <w:tc>
          <w:tcPr>
            <w:tcW w:type="dxa" w:w="2880"/>
          </w:tcPr>
          <w:p>
            <w:pPr>
              <w:spacing w:after="40"/>
            </w:pPr>
            <w:r>
              <w:t>Complete</w:t>
            </w:r>
          </w:p>
        </w:tc>
      </w:tr>
      <w:tr>
        <w:tc>
          <w:tcPr>
            <w:tcW w:type="dxa" w:w="2880"/>
          </w:tcPr>
          <w:p>
            <w:pPr>
              <w:spacing w:after="40"/>
            </w:pPr>
            <w:r>
              <w:t>Phase 1B (purchasing)</w:t>
            </w:r>
          </w:p>
        </w:tc>
        <w:tc>
          <w:tcPr>
            <w:tcW w:type="dxa" w:w="2880"/>
          </w:tcPr>
          <w:p>
            <w:pPr>
              <w:spacing w:after="40"/>
            </w:pPr>
            <w:r>
              <w:t>Purchase Requests, Purchase Orders, multi-step approval flow.</w:t>
            </w:r>
          </w:p>
        </w:tc>
        <w:tc>
          <w:tcPr>
            <w:tcW w:type="dxa" w:w="2880"/>
          </w:tcPr>
          <w:p>
            <w:pPr>
              <w:spacing w:after="40"/>
            </w:pPr>
            <w:r>
              <w:t>Complete</w:t>
            </w:r>
          </w:p>
        </w:tc>
      </w:tr>
      <w:tr>
        <w:tc>
          <w:tcPr>
            <w:tcW w:type="dxa" w:w="2880"/>
          </w:tcPr>
          <w:p>
            <w:pPr>
              <w:spacing w:after="40"/>
            </w:pPr>
            <w:r>
              <w:t>Phase 2 (drift mitigation)</w:t>
            </w:r>
          </w:p>
        </w:tc>
        <w:tc>
          <w:tcPr>
            <w:tcW w:type="dxa" w:w="2880"/>
          </w:tcPr>
          <w:p>
            <w:pPr>
              <w:spacing w:after="40"/>
            </w:pPr>
            <w:r>
              <w:t>Transactional outbox with single-node Mongo replica set; periodic outbox reconciliation sweeper.</w:t>
            </w:r>
          </w:p>
        </w:tc>
        <w:tc>
          <w:tcPr>
            <w:tcW w:type="dxa" w:w="2880"/>
          </w:tcPr>
          <w:p>
            <w:pPr>
              <w:spacing w:after="40"/>
            </w:pPr>
            <w:r>
              <w:t>Complete</w:t>
            </w:r>
          </w:p>
        </w:tc>
      </w:tr>
      <w:tr>
        <w:tc>
          <w:tcPr>
            <w:tcW w:type="dxa" w:w="2880"/>
          </w:tcPr>
          <w:p>
            <w:pPr>
              <w:spacing w:after="40"/>
            </w:pPr>
            <w:r>
              <w:t>Phase A (foundation)</w:t>
            </w:r>
          </w:p>
        </w:tc>
        <w:tc>
          <w:tcPr>
            <w:tcW w:type="dxa" w:w="2880"/>
          </w:tcPr>
          <w:p>
            <w:pPr>
              <w:spacing w:after="40"/>
            </w:pPr>
            <w:r>
              <w:t>Journal entry tables, posting setup, posting setup UI, item GL mapping.</w:t>
            </w:r>
          </w:p>
        </w:tc>
        <w:tc>
          <w:tcPr>
            <w:tcW w:type="dxa" w:w="2880"/>
          </w:tcPr>
          <w:p>
            <w:pPr>
              <w:spacing w:after="40"/>
            </w:pPr>
            <w:r>
              <w:t>Complete</w:t>
            </w:r>
          </w:p>
        </w:tc>
      </w:tr>
      <w:tr>
        <w:tc>
          <w:tcPr>
            <w:tcW w:type="dxa" w:w="2880"/>
          </w:tcPr>
          <w:p>
            <w:pPr>
              <w:spacing w:after="40"/>
            </w:pPr>
            <w:r>
              <w:t>Phase B (first posting)</w:t>
            </w:r>
          </w:p>
        </w:tc>
        <w:tc>
          <w:tcPr>
            <w:tcW w:type="dxa" w:w="2880"/>
          </w:tcPr>
          <w:p>
            <w:pPr>
              <w:spacing w:after="40"/>
            </w:pPr>
            <w:r>
              <w:t>Goods Receipt module, purchase_received handler, JE list UI. Produces the first real accounting entry.</w:t>
            </w:r>
          </w:p>
        </w:tc>
        <w:tc>
          <w:tcPr>
            <w:tcW w:type="dxa" w:w="2880"/>
          </w:tcPr>
          <w:p>
            <w:pPr>
              <w:spacing w:after="40"/>
            </w:pPr>
            <w:r>
              <w:t>Complete</w:t>
            </w:r>
          </w:p>
        </w:tc>
      </w:tr>
      <w:tr>
        <w:tc>
          <w:tcPr>
            <w:tcW w:type="dxa" w:w="2880"/>
          </w:tcPr>
          <w:p>
            <w:pPr>
              <w:spacing w:after="40"/>
            </w:pPr>
            <w:r>
              <w:t>Phase C (vendor invoice)</w:t>
            </w:r>
          </w:p>
        </w:tc>
        <w:tc>
          <w:tcPr>
            <w:tcW w:type="dxa" w:w="2880"/>
          </w:tcPr>
          <w:p>
            <w:pPr>
              <w:spacing w:after="40"/>
            </w:pPr>
            <w:r>
              <w:t>AP Invoice module on operation side; three-way match logic; ap_invoice_posted handler that recognises VAT and creates the vendor liability.</w:t>
            </w:r>
          </w:p>
        </w:tc>
        <w:tc>
          <w:tcPr>
            <w:tcW w:type="dxa" w:w="2880"/>
          </w:tcPr>
          <w:p>
            <w:pPr>
              <w:spacing w:after="40"/>
            </w:pPr>
            <w:r>
              <w:t>Not started</w:t>
            </w:r>
          </w:p>
        </w:tc>
      </w:tr>
      <w:tr>
        <w:tc>
          <w:tcPr>
            <w:tcW w:type="dxa" w:w="2880"/>
          </w:tcPr>
          <w:p>
            <w:pPr>
              <w:spacing w:after="40"/>
            </w:pPr>
            <w:r>
              <w:t>Phase D (payment)</w:t>
            </w:r>
          </w:p>
        </w:tc>
        <w:tc>
          <w:tcPr>
            <w:tcW w:type="dxa" w:w="2880"/>
          </w:tcPr>
          <w:p>
            <w:pPr>
              <w:spacing w:after="40"/>
            </w:pPr>
            <w:r>
              <w:t>Payment recording on finance side; vendor_payment handler that clears AP and credits the bank.</w:t>
            </w:r>
          </w:p>
        </w:tc>
        <w:tc>
          <w:tcPr>
            <w:tcW w:type="dxa" w:w="2880"/>
          </w:tcPr>
          <w:p>
            <w:pPr>
              <w:spacing w:after="40"/>
            </w:pPr>
            <w:r>
              <w:t>Not started</w:t>
            </w:r>
          </w:p>
        </w:tc>
      </w:tr>
      <w:tr>
        <w:tc>
          <w:tcPr>
            <w:tcW w:type="dxa" w:w="2880"/>
          </w:tcPr>
          <w:p>
            <w:pPr>
              <w:spacing w:after="40"/>
            </w:pPr>
            <w:r>
              <w:t>Phase E (polish)</w:t>
            </w:r>
          </w:p>
        </w:tc>
        <w:tc>
          <w:tcPr>
            <w:tcW w:type="dxa" w:w="2880"/>
          </w:tcPr>
          <w:p>
            <w:pPr>
              <w:spacing w:after="40"/>
            </w:pPr>
            <w:r>
              <w:t>GR/IR reconciliation report, period close UI, audit log surfaces, outstanding payables view.</w:t>
            </w:r>
          </w:p>
        </w:tc>
        <w:tc>
          <w:tcPr>
            <w:tcW w:type="dxa" w:w="2880"/>
          </w:tcPr>
          <w:p>
            <w:pPr>
              <w:spacing w:after="40"/>
            </w:pPr>
            <w:r>
              <w:t>Not started</w:t>
            </w:r>
          </w:p>
        </w:tc>
      </w:tr>
    </w:tbl>
    <w:p/>
    <w:p>
      <w:pPr>
        <w:pStyle w:val="Heading1"/>
      </w:pPr>
      <w:r>
        <w:rPr>
          <w:color w:val="1F3656"/>
        </w:rPr>
        <w:t>Build Metrics</w:t>
      </w:r>
    </w:p>
    <w:p>
      <w:r>
        <w:rPr>
          <w:b w:val="0"/>
          <w:i w:val="0"/>
        </w:rPr>
        <w:t>Engineering output to date on the finance module:</w:t>
      </w:r>
    </w:p>
    <w:p>
      <w:pPr>
        <w:pStyle w:val="ListBullet"/>
        <w:ind w:left="425"/>
      </w:pPr>
      <w:r>
        <w:t>11 backend Alembic migrations applied (finance MySQL schema).</w:t>
      </w:r>
    </w:p>
    <w:p>
      <w:pPr>
        <w:pStyle w:val="ListBullet"/>
        <w:ind w:left="425"/>
      </w:pPr>
      <w:r>
        <w:t>13 MySQL tables managed by the finance service.</w:t>
      </w:r>
    </w:p>
    <w:p>
      <w:pPr>
        <w:pStyle w:val="ListBullet"/>
        <w:ind w:left="425"/>
      </w:pPr>
      <w:r>
        <w:t>21 finance API endpoints exposed.</w:t>
      </w:r>
    </w:p>
    <w:p>
      <w:pPr>
        <w:pStyle w:val="ListBullet"/>
        <w:ind w:left="425"/>
      </w:pPr>
      <w:r>
        <w:t>8 finance UI pages live in the user portal.</w:t>
      </w:r>
    </w:p>
    <w:p>
      <w:pPr>
        <w:pStyle w:val="ListBullet"/>
        <w:ind w:left="425"/>
      </w:pPr>
      <w:r>
        <w:t>227 GL accounts seeded as the default UAE agri-business CoA.</w:t>
      </w:r>
    </w:p>
    <w:p>
      <w:pPr>
        <w:pStyle w:val="ListBullet"/>
        <w:ind w:left="425"/>
      </w:pPr>
      <w:r>
        <w:t>5 default approval rules seeded for the demo company.</w:t>
      </w:r>
    </w:p>
    <w:p>
      <w:pPr>
        <w:pStyle w:val="ListBullet"/>
        <w:ind w:left="425"/>
      </w:pPr>
      <w:r>
        <w:t>Multiple verified end-to-end flows: vendor sync, item sync, PR submit→approve, PO submit→approve→send, GR create→post→JE.</w:t>
      </w:r>
    </w:p>
    <w:p>
      <w:pPr>
        <w:pStyle w:val="Heading1"/>
      </w:pPr>
      <w:r>
        <w:rPr>
          <w:color w:val="1F3656"/>
        </w:rPr>
        <w:t>Deliberately Deferred to Version 2</w:t>
      </w:r>
    </w:p>
    <w:p>
      <w:r>
        <w:rPr>
          <w:b w:val="0"/>
          <w:i w:val="0"/>
        </w:rPr>
        <w:t>These features were considered and deferred to keep the v1 cycle focused on the single-currency UAE procure-to-pay flow. Each is scoped but not built.</w:t>
      </w:r>
    </w:p>
    <w:p>
      <w:pPr>
        <w:pStyle w:val="ListBullet"/>
        <w:ind w:left="425"/>
      </w:pPr>
      <w:r>
        <w:t>Multi-currency operations (FX gain/loss accounts).</w:t>
      </w:r>
    </w:p>
    <w:p>
      <w:pPr>
        <w:pStyle w:val="ListBullet"/>
        <w:ind w:left="425"/>
      </w:pPr>
      <w:r>
        <w:t>Vendor returns and credit memos.</w:t>
      </w:r>
    </w:p>
    <w:p>
      <w:pPr>
        <w:pStyle w:val="ListBullet"/>
        <w:ind w:left="425"/>
      </w:pPr>
      <w:r>
        <w:t>Advance payments and prepayments.</w:t>
      </w:r>
    </w:p>
    <w:p>
      <w:pPr>
        <w:pStyle w:val="ListBullet"/>
        <w:ind w:left="425"/>
      </w:pPr>
      <w:r>
        <w:t>Recurring invoices for utilities, rent, etc.</w:t>
      </w:r>
    </w:p>
    <w:p>
      <w:pPr>
        <w:pStyle w:val="ListBullet"/>
        <w:ind w:left="425"/>
      </w:pPr>
      <w:r>
        <w:t>Cash purchases that bypass the AP cycle.</w:t>
      </w:r>
    </w:p>
    <w:p>
      <w:pPr>
        <w:pStyle w:val="ListBullet"/>
        <w:ind w:left="425"/>
      </w:pPr>
      <w:r>
        <w:t>Multi-warehouse separate inventory accounts.</w:t>
      </w:r>
    </w:p>
    <w:p>
      <w:pPr>
        <w:pStyle w:val="ListBullet"/>
        <w:ind w:left="425"/>
      </w:pPr>
      <w:r>
        <w:t>Withholding tax on services.</w:t>
      </w:r>
    </w:p>
    <w:p>
      <w:pPr>
        <w:pStyle w:val="ListBullet"/>
        <w:ind w:left="425"/>
      </w:pPr>
      <w:r>
        <w:t>Customer-facing sales / AR cycle (defer to v2).</w:t>
      </w:r>
    </w:p>
    <w:p>
      <w:pPr>
        <w:pStyle w:val="ListBullet"/>
        <w:ind w:left="425"/>
      </w:pPr>
      <w:r>
        <w:t>Budget tracking and variance reporting.</w:t>
      </w:r>
    </w:p>
    <w:p>
      <w:pPr>
        <w:pStyle w:val="ListBullet"/>
        <w:ind w:left="425"/>
      </w:pPr>
      <w:r>
        <w:t>Period-close enforcement and audit lock.</w:t>
      </w:r>
    </w:p>
    <w:p>
      <w:pPr>
        <w:pStyle w:val="Heading1"/>
      </w:pPr>
      <w:r>
        <w:rPr>
          <w:color w:val="1F3656"/>
        </w:rPr>
        <w:t>Risks and Open Items</w:t>
      </w:r>
    </w:p>
    <w:tbl>
      <w:tblPr>
        <w:tblStyle w:val="LightGrid-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Note</w:t>
            </w:r>
          </w:p>
        </w:tc>
      </w:tr>
      <w:tr>
        <w:tc>
          <w:tcPr>
            <w:tcW w:type="dxa" w:w="4320"/>
          </w:tcPr>
          <w:p>
            <w:pPr>
              <w:spacing w:after="40"/>
            </w:pPr>
            <w:r>
              <w:t>Production deployment of finance stack</w:t>
            </w:r>
          </w:p>
        </w:tc>
        <w:tc>
          <w:tcPr>
            <w:tcW w:type="dxa" w:w="4320"/>
          </w:tcPr>
          <w:p>
            <w:pPr>
              <w:spacing w:after="40"/>
            </w:pPr>
            <w:r>
              <w:t>Currently only running locally. A production deployment plan (MySQL host, secrets, backup, monitoring) is needed before customer rollout.</w:t>
            </w:r>
          </w:p>
        </w:tc>
      </w:tr>
      <w:tr>
        <w:tc>
          <w:tcPr>
            <w:tcW w:type="dxa" w:w="4320"/>
          </w:tcPr>
          <w:p>
            <w:pPr>
              <w:spacing w:after="40"/>
            </w:pPr>
            <w:r>
              <w:t>Three-way match design</w:t>
            </w:r>
          </w:p>
        </w:tc>
        <w:tc>
          <w:tcPr>
            <w:tcW w:type="dxa" w:w="4320"/>
          </w:tcPr>
          <w:p>
            <w:pPr>
              <w:spacing w:after="40"/>
            </w:pPr>
            <w:r>
              <w:t>The design for Phase C (AP Invoice) needs sign-off on tolerance thresholds (price variance, quantity variance) before build.</w:t>
            </w:r>
          </w:p>
        </w:tc>
      </w:tr>
      <w:tr>
        <w:tc>
          <w:tcPr>
            <w:tcW w:type="dxa" w:w="4320"/>
          </w:tcPr>
          <w:p>
            <w:pPr>
              <w:spacing w:after="40"/>
            </w:pPr>
            <w:r>
              <w:t>Per-item GL mapping coverage</w:t>
            </w:r>
          </w:p>
        </w:tc>
        <w:tc>
          <w:tcPr>
            <w:tcW w:type="dxa" w:w="4320"/>
          </w:tcPr>
          <w:p>
            <w:pPr>
              <w:spacing w:after="40"/>
            </w:pPr>
            <w:r>
              <w:t>Each newly created purchase item requires manual finance-side configuration. Bulk-assign tooling can be added if onboarding becomes a bottleneck.</w:t>
            </w:r>
          </w:p>
        </w:tc>
      </w:tr>
      <w:tr>
        <w:tc>
          <w:tcPr>
            <w:tcW w:type="dxa" w:w="4320"/>
          </w:tcPr>
          <w:p>
            <w:pPr>
              <w:spacing w:after="40"/>
            </w:pPr>
            <w:r>
              <w:t>Posting setup completeness</w:t>
            </w:r>
          </w:p>
        </w:tc>
        <w:tc>
          <w:tcPr>
            <w:tcW w:type="dxa" w:w="4320"/>
          </w:tcPr>
          <w:p>
            <w:pPr>
              <w:spacing w:after="40"/>
            </w:pPr>
            <w:r>
              <w:t>Five default GL accounts must be selected before posting can run. Implementation guards against running with incomplete setup but the controller must complete this onboarding step on day one.</w:t>
            </w:r>
          </w:p>
        </w:tc>
      </w:tr>
    </w:tbl>
    <w:p/>
    <w:p>
      <w:pPr>
        <w:pStyle w:val="Heading1"/>
      </w:pPr>
      <w:r>
        <w:rPr>
          <w:color w:val="1F3656"/>
        </w:rPr>
        <w:t>Recommended Next Steps</w:t>
      </w:r>
    </w:p>
    <w:p>
      <w:r>
        <w:rPr>
          <w:b w:val="0"/>
          <w:i w:val="0"/>
        </w:rPr>
        <w:t>Sequence for the remaining build, in priority order:</w:t>
      </w:r>
    </w:p>
    <w:p>
      <w:pPr>
        <w:pStyle w:val="ListBullet"/>
        <w:ind w:left="425"/>
      </w:pPr>
      <w:r>
        <w:t>Phase C — AP Invoice module with three-way match. This unlocks the second journal entry of the cycle (recognising the specific vendor liability and reclaimable VAT).</w:t>
      </w:r>
    </w:p>
    <w:p>
      <w:pPr>
        <w:pStyle w:val="ListBullet"/>
        <w:ind w:left="425"/>
      </w:pPr>
      <w:r>
        <w:t>Phase D — Payment module. Closes the cycle by debiting accounts payable and crediting the bank account.</w:t>
      </w:r>
    </w:p>
    <w:p>
      <w:pPr>
        <w:pStyle w:val="ListBullet"/>
        <w:ind w:left="425"/>
      </w:pPr>
      <w:r>
        <w:t>Phase E — operability polish: GR/IR reconciliation report (essential for month-end), period-close UI, and the outstanding-payables list.</w:t>
      </w:r>
    </w:p>
    <w:p>
      <w:pPr>
        <w:pStyle w:val="ListBullet"/>
        <w:ind w:left="425"/>
      </w:pPr>
      <w:r>
        <w:t>Production deployment plan: scope MySQL hosting, backups, secrets management, and monitoring before customer rollout.</w:t>
      </w:r>
    </w:p>
    <w:p>
      <w:pPr>
        <w:pStyle w:val="ListBullet"/>
        <w:ind w:left="425"/>
      </w:pPr>
      <w:r>
        <w:t>Customer onboarding playbook: documented walkthrough for posting setup, CoA review, and item mapping for new tenants.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