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Mistakes / risks form the mock system </w:t>
      </w:r>
    </w:p>
    <w:p w:rsidR="00000000" w:rsidDel="00000000" w:rsidP="00000000" w:rsidRDefault="00000000" w:rsidRPr="00000000" w14:paraId="00000002">
      <w:pPr>
        <w:rPr/>
      </w:pPr>
      <w:r w:rsidDel="00000000" w:rsidR="00000000" w:rsidRPr="00000000">
        <w:rPr>
          <w:rtl w:val="0"/>
        </w:rPr>
        <w:t xml:space="preserve">Form the document </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The gr/ gi are classifed as trade payable when they should be under either accrued liability or a dedicated clearing amount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Input vat date, uae tax point rule use the earliest of date of supply/ date of invoice / date of payment, not just one document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No reverse-charge VAT mechanism. The system has Input VAT and Output VAT accounts but nothing about </w:t>
      </w:r>
      <w:r w:rsidDel="00000000" w:rsidR="00000000" w:rsidRPr="00000000">
        <w:rPr>
          <w:rtl w:val="0"/>
        </w:rPr>
        <w:t xml:space="preserve">self-accounting</w:t>
      </w:r>
      <w:r w:rsidDel="00000000" w:rsidR="00000000" w:rsidRPr="00000000">
        <w:rPr>
          <w:rtl w:val="0"/>
        </w:rPr>
        <w:t xml:space="preserve"> VAT entries (DR Input VAT / CR Output VAT for the same amount on import of services).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Period close and audit lock are deferred to Phase E must be before u cant delay audit lock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b w:val="1"/>
          <w:bCs w:val="1"/>
          <w:color w:val="d6d5d4"/>
          <w:sz w:val="24"/>
          <w:szCs w:val="24"/>
          <w:u w:val="none"/>
        </w:rPr>
      </w:pPr>
      <w:commentRangeStart w:id="0"/>
      <w:r w:rsidDel="00000000" w:rsidR="00000000" w:rsidRPr="00000000">
        <w:rPr>
          <w:rtl w:val="0"/>
        </w:rPr>
        <w:t xml:space="preserve">No mention of multi-company in even future steps or documents must check with guy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b w:val="1"/>
          <w:bCs w:val="1"/>
          <w:color w:val="d6d5d4"/>
          <w:sz w:val="24"/>
          <w:szCs w:val="24"/>
          <w:u w:val="none"/>
        </w:rPr>
      </w:pPr>
      <w:r w:rsidDel="00000000" w:rsidR="00000000" w:rsidRPr="00000000">
        <w:rPr>
          <w:rtl w:val="0"/>
        </w:rPr>
        <w:t xml:space="preserve">It is correct you should not change a journal entry but In real accounting you must be able to </w:t>
      </w:r>
      <w:r w:rsidDel="00000000" w:rsidR="00000000" w:rsidRPr="00000000">
        <w:rPr>
          <w:rtl w:val="0"/>
        </w:rPr>
        <w:t xml:space="preserve">reverse</w:t>
      </w:r>
      <w:r w:rsidDel="00000000" w:rsidR="00000000" w:rsidRPr="00000000">
        <w:rPr>
          <w:rtl w:val="0"/>
        </w:rPr>
        <w:t xml:space="preserve"> a wrong JE with an offsetting JE that references the original one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eorgia" w:cs="Georgia" w:eastAsia="Georgia" w:hAnsi="Georgia"/>
          <w:b w:val="1"/>
          <w:bCs w:val="1"/>
          <w:color w:val="d6d5d4"/>
          <w:sz w:val="24"/>
          <w:szCs w:val="24"/>
          <w:u w:val="none"/>
        </w:rPr>
      </w:pPr>
      <w:r w:rsidDel="00000000" w:rsidR="00000000" w:rsidRPr="00000000">
        <w:rPr>
          <w:rtl w:val="0"/>
        </w:rPr>
        <w:t xml:space="preserve">There is no mention of trial balance, a trial balance is where accountants see all account balances from trial balance, u must have trial balnce shouldnt be too difculet since you already have the gl ( The Trial Balance is a report built from the GL)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No Purchase Price Variance (PPV) account exists. The dev doc said "leave PPV blank in v1, add in Phase C." But the CoA itself has no PPV account anywhere — not in Cost of Sales, not in Operating Cost. When the AP invoice price differs from the PO/GR price, the GR/IR won't clear and the difference has nowhere to go. This needs to exist before Phase C is built, not as an afterthought. Should sit in </w:t>
      </w:r>
      <w:r w:rsidDel="00000000" w:rsidR="00000000" w:rsidRPr="00000000">
        <w:rPr>
          <w:rtl w:val="0"/>
        </w:rPr>
        <w:t xml:space="preserve">514000 Inventory Adjustments</w:t>
      </w:r>
      <w:r w:rsidDel="00000000" w:rsidR="00000000" w:rsidRPr="00000000">
        <w:rPr>
          <w:rtl w:val="0"/>
        </w:rPr>
        <w:t xml:space="preserve"> or its own </w:t>
      </w:r>
      <w:r w:rsidDel="00000000" w:rsidR="00000000" w:rsidRPr="00000000">
        <w:rPr>
          <w:rtl w:val="0"/>
        </w:rPr>
        <w:t xml:space="preserve">515000 Purchase Variances</w:t>
      </w:r>
      <w:r w:rsidDel="00000000" w:rsidR="00000000" w:rsidRPr="00000000">
        <w:rPr>
          <w:rtl w:val="0"/>
        </w:rPr>
        <w:t xml:space="preserve"> block.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 Add </w:t>
      </w:r>
      <w:r w:rsidDel="00000000" w:rsidR="00000000" w:rsidRPr="00000000">
        <w:rPr>
          <w:rtl w:val="0"/>
        </w:rPr>
        <w:t xml:space="preserve">617000-011 Rounding Differences</w:t>
      </w:r>
      <w:r w:rsidDel="00000000" w:rsidR="00000000" w:rsidRPr="00000000">
        <w:rPr>
          <w:rtl w:val="0"/>
        </w:rPr>
        <w:t xml:space="preserve"> or similar.</w:t>
      </w:r>
    </w:p>
    <w:p w:rsidR="00000000" w:rsidDel="00000000" w:rsidP="00000000" w:rsidRDefault="00000000" w:rsidRPr="00000000" w14:paraId="0000000F">
      <w:pPr>
        <w:numPr>
          <w:ilvl w:val="0"/>
          <w:numId w:val="1"/>
        </w:numPr>
        <w:pBdr>
          <w:top w:color="auto" w:space="0" w:sz="0" w:val="none"/>
          <w:bottom w:color="auto" w:space="0" w:sz="0" w:val="none"/>
          <w:between w:color="auto" w:space="0" w:sz="0" w:val="none"/>
        </w:pBdr>
        <w:ind w:left="720" w:hanging="360"/>
      </w:pPr>
      <w:r w:rsidDel="00000000" w:rsidR="00000000" w:rsidRPr="00000000">
        <w:rPr>
          <w:rtl w:val="0"/>
        </w:rPr>
        <w:t xml:space="preserve">There is no mention of Gain/Loss on fair value remeasurement of biological assets in the CoA, this P&amp;L line must exist for proper accounting of asset valuation changes.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Labour Overtime and Labour Benefits sit in </w:t>
      </w:r>
      <w:r w:rsidDel="00000000" w:rsidR="00000000" w:rsidRPr="00000000">
        <w:rPr>
          <w:rtl w:val="0"/>
        </w:rPr>
        <w:t xml:space="preserve">512000 Direct Labour</w:t>
      </w:r>
      <w:r w:rsidDel="00000000" w:rsidR="00000000" w:rsidRPr="00000000">
        <w:rPr>
          <w:rtl w:val="0"/>
        </w:rPr>
        <w:t xml:space="preserve"> — but you also have </w:t>
      </w:r>
      <w:r w:rsidDel="00000000" w:rsidR="00000000" w:rsidRPr="00000000">
        <w:rPr>
          <w:rtl w:val="0"/>
        </w:rPr>
        <w:t xml:space="preserve">611000-004 End of Service Benefits Expense</w:t>
      </w:r>
      <w:r w:rsidDel="00000000" w:rsidR="00000000" w:rsidRPr="00000000">
        <w:rPr>
          <w:rtl w:val="0"/>
        </w:rPr>
        <w:t xml:space="preserve"> under Operating Cost.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This means direct farm labour EOSB is going to OpEx, not COGS. Under IAS 2 (Inventories), the direct production labour's </w:t>
      </w:r>
      <w:r w:rsidDel="00000000" w:rsidR="00000000" w:rsidRPr="00000000">
        <w:rPr>
          <w:rtl w:val="0"/>
        </w:rPr>
        <w:t xml:space="preserve">full cost</w:t>
      </w:r>
      <w:r w:rsidDel="00000000" w:rsidR="00000000" w:rsidRPr="00000000">
        <w:rPr>
          <w:rtl w:val="0"/>
        </w:rPr>
        <w:t xml:space="preserve"> — including their EOSB accrual — should be capitalised into inventory and flow through COGS, not expensed as OpEx. Either add </w:t>
      </w:r>
      <w:r w:rsidDel="00000000" w:rsidR="00000000" w:rsidRPr="00000000">
        <w:rPr>
          <w:rtl w:val="0"/>
        </w:rPr>
        <w:t xml:space="preserve">512000-006 Direct Labour - EOSB</w:t>
      </w:r>
      <w:r w:rsidDel="00000000" w:rsidR="00000000" w:rsidRPr="00000000">
        <w:rPr>
          <w:rtl w:val="0"/>
        </w:rPr>
        <w:t xml:space="preserve"> or write a clear policy that EOSB for direct labour is allocated.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commentRangeStart w:id="1"/>
      <w:r w:rsidDel="00000000" w:rsidR="00000000" w:rsidRPr="00000000">
        <w:rPr>
          <w:rtl w:val="0"/>
        </w:rPr>
        <w:t xml:space="preserve">4. GENREAL NOTE FOR ALL THE WEBSITE PLEASE MAKE THE DROPDOWN MENU ALWAYS OPEN FORM HEAD TO FINISH , LIKE SAY U SELECT TAX AND THEN WANT TO CLICK AGAIN IT WILL SHOW TAX UP THEN U HAVE TO SCROLL DOWN TO SEE ALL THE OTHER OPTIONS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ITEM GL ACCOUNT MAPPING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A">
      <w:pPr>
        <w:spacing w:after="120" w:before="240" w:lineRule="auto"/>
        <w:rPr/>
      </w:pPr>
      <w:r w:rsidDel="00000000" w:rsidR="00000000" w:rsidRPr="00000000">
        <w:rPr>
          <w:rtl w:val="0"/>
        </w:rPr>
        <w:t xml:space="preserve">6. Valuation Method is per-item, with three options: Moving Average / Standard / FIFO.</w:t>
        <w:br w:type="textWrapping"/>
        <w:t xml:space="preserve">This is dangerous. IAS 2 says you must apply the </w:t>
      </w:r>
      <w:r w:rsidDel="00000000" w:rsidR="00000000" w:rsidRPr="00000000">
        <w:rPr>
          <w:rtl w:val="0"/>
        </w:rPr>
        <w:t xml:space="preserve">same</w:t>
      </w:r>
      <w:r w:rsidDel="00000000" w:rsidR="00000000" w:rsidRPr="00000000">
        <w:rPr>
          <w:rtl w:val="0"/>
        </w:rPr>
        <w:t xml:space="preserve"> cost formula to inventories of </w:t>
      </w:r>
      <w:r w:rsidDel="00000000" w:rsidR="00000000" w:rsidRPr="00000000">
        <w:rPr>
          <w:rtl w:val="0"/>
        </w:rPr>
        <w:t xml:space="preserve">similar nature and use</w:t>
      </w:r>
      <w:r w:rsidDel="00000000" w:rsidR="00000000" w:rsidRPr="00000000">
        <w:rPr>
          <w:rtl w:val="0"/>
        </w:rPr>
        <w:t xml:space="preserve">. You cannot have Tomato Seeds on Moving Average and Cucumber Seeds on FIFO — that's an audit finding. The system allows it. There must be a policy lock at the item-group or company level: pick one method per category and enforce consistency.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et Anh Luong" w:id="0" w:date="2026-05-20T14:34:53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have scaffold for this</w:t>
      </w:r>
    </w:p>
  </w:comment>
  <w:comment w:author="Viet Anh Luong" w:id="1" w:date="2026-05-20T14:44:18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clarify the exact behaviour you're expecting. I'll localize this to the finance module for now, if you find any place that needs this correction note it down. I already have a dropdown component that can be modified and it'd be applied to all instances where it's used. But there might be legacy code from Adrian's past work that don't use my component.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