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1F3A5F"/>
          <w:sz w:val="44"/>
        </w:rPr>
        <w:t>Sales Module — Phase 2 Status Report</w:t>
      </w:r>
    </w:p>
    <w:p>
      <w:r>
        <w:rPr>
          <w:b w:val="0"/>
          <w:i w:val="0"/>
          <w:sz w:val="22"/>
        </w:rPr>
        <w:t>Wave 3 Accounts Receivable — SAP B1-aligned credit-sale and returns cycle</w:t>
      </w:r>
    </w:p>
    <w:p>
      <w:r>
        <w:rPr>
          <w:b w:val="0"/>
          <w:i w:val="0"/>
          <w:sz w:val="22"/>
        </w:rPr>
        <w:t>Author: Viet Anh   ·   Period: post-Phase 2 UI rebuild   ·   Date: 2026-05-30</w:t>
      </w:r>
    </w:p>
    <w:p>
      <w:pPr>
        <w:pStyle w:val="Heading1"/>
      </w:pPr>
      <w:r>
        <w:t>Executive Summary</w:t>
      </w:r>
    </w:p>
    <w:p>
      <w:r>
        <w:rPr>
          <w:b w:val="0"/>
          <w:i w:val="0"/>
          <w:sz w:val="22"/>
        </w:rPr>
        <w:t>The Sales Module covers the Wave 3 Accounts Receivable build: a complete SAP Business One–aligned credit-sale lifecycle (Quote → Sales Order → Delivery Note → AR Invoice → Customer Receipt) plus a parallel Returns flow (Return Request → Return Note → AR Credit Note) and the AR Aging report. The backend is feature-complete and verified end-to-end for all eight document types and the report; the UI ships five of eleven surfaces (Quote, Sales Order, AR Invoice, Customer Receipt, AR Aging) and is in active acceptance testing on the customer side. The remaining six UI surfaces (Delivery, Return Request, Return Note, AR Credit Note, Sales Items master, Posting Setup admin) follow an established repeatable pattern and will land in the next series of tasks.</w:t>
      </w:r>
    </w:p>
    <w:p>
      <w:r>
        <w:rPr>
          <w:b w:val="0"/>
          <w:i w:val="0"/>
          <w:sz w:val="22"/>
        </w:rPr>
        <w:t>An accountant on the customer side has begun acceptance testing on the shipped surfaces. The high-traffic AR workflows — issuing invoices, applying customer payments, and reading the AR Aging report — are reachable end-to-end through the UI. The Quote → Sales Order conversion works through the UI as well; the downstream Delivery and Return-side documents are reachable via API and visible in their backend data but do not yet have dedicated pages.</w:t>
      </w:r>
    </w:p>
    <w:p>
      <w:pPr>
        <w:pStyle w:val="Heading1"/>
      </w:pPr>
      <w:r>
        <w:t>1. The Sales Module — what it does</w:t>
      </w:r>
    </w:p>
    <w:p>
      <w:r>
        <w:rPr>
          <w:b w:val="0"/>
          <w:i w:val="0"/>
          <w:sz w:val="22"/>
        </w:rPr>
        <w:t>The module supports two interlocking threads. The credit-sale thread takes a customer through pricing (Quote), commitment (Sales Order), fulfilment (Delivery Note), revenue recognition (AR Invoice), and settlement (Customer Receipt). The returns thread branches from a posted AR Invoice: authorisation (Return Request), physical receipt (Return Note), financial reversal (AR Credit Note). The two threads share customers, items, and chart of accounts. The AR Invoice is the pivot point where revenue is recognised on the way out and reversed on the way back through the credit note.</w:t>
      </w:r>
    </w:p>
    <w:p>
      <w:r>
        <w:rPr>
          <w:b w:val="0"/>
          <w:i w:val="0"/>
          <w:sz w:val="22"/>
        </w:rPr>
        <w:t>The module's accounting behaviour follows SAP Business One conventions: a separate DocEntry (internal UUID) and DocNum (year-sequenced human-readable number) on every document; base and target document references visible on every detail page; per-line open-quantity tracking; tax-point rule on revenue recognition. The customer's accountant has an SAP B1 background, and the UI is built around that mental model.</w:t>
      </w:r>
    </w:p>
    <w:p>
      <w:pPr>
        <w:pStyle w:val="Heading1"/>
      </w:pPr>
      <w:r>
        <w:t>2. The Document Chain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Order</w:t>
            </w:r>
          </w:p>
        </w:tc>
        <w:tc>
          <w:tcPr>
            <w:tcW w:type="dxa" w:w="2340"/>
          </w:tcPr>
          <w:p>
            <w:r>
              <w:rPr>
                <w:b/>
              </w:rPr>
              <w:t>Document</w:t>
            </w:r>
          </w:p>
        </w:tc>
        <w:tc>
          <w:tcPr>
            <w:tcW w:type="dxa" w:w="2340"/>
          </w:tcPr>
          <w:p>
            <w:r>
              <w:rPr>
                <w:b/>
              </w:rPr>
              <w:t>DocNum Prefix</w:t>
            </w:r>
          </w:p>
        </w:tc>
        <w:tc>
          <w:tcPr>
            <w:tcW w:type="dxa" w:w="2340"/>
          </w:tcPr>
          <w:p>
            <w:r>
              <w:rPr>
                <w:b/>
              </w:rPr>
              <w:t>GL impact on Post</w:t>
            </w:r>
          </w:p>
        </w:tc>
      </w:tr>
      <w:tr>
        <w:tc>
          <w:tcPr>
            <w:tcW w:type="dxa" w:w="2340"/>
          </w:tcPr>
          <w:p>
            <w:r>
              <w:t>1</w:t>
            </w:r>
          </w:p>
        </w:tc>
        <w:tc>
          <w:tcPr>
            <w:tcW w:type="dxa" w:w="2340"/>
          </w:tcPr>
          <w:p>
            <w:r>
              <w:t>Sales Quote</w:t>
            </w:r>
          </w:p>
        </w:tc>
        <w:tc>
          <w:tcPr>
            <w:tcW w:type="dxa" w:w="2340"/>
          </w:tcPr>
          <w:p>
            <w:r>
              <w:t>SQ-YYYY-NNNN</w:t>
            </w:r>
          </w:p>
        </w:tc>
        <w:tc>
          <w:tcPr>
            <w:tcW w:type="dxa" w:w="2340"/>
          </w:tcPr>
          <w:p>
            <w:r>
              <w:t>None — commitment only</w:t>
            </w:r>
          </w:p>
        </w:tc>
      </w:tr>
      <w:tr>
        <w:tc>
          <w:tcPr>
            <w:tcW w:type="dxa" w:w="2340"/>
          </w:tcPr>
          <w:p>
            <w:r>
              <w:t>2</w:t>
            </w:r>
          </w:p>
        </w:tc>
        <w:tc>
          <w:tcPr>
            <w:tcW w:type="dxa" w:w="2340"/>
          </w:tcPr>
          <w:p>
            <w:r>
              <w:t>Sales Order</w:t>
            </w:r>
          </w:p>
        </w:tc>
        <w:tc>
          <w:tcPr>
            <w:tcW w:type="dxa" w:w="2340"/>
          </w:tcPr>
          <w:p>
            <w:r>
              <w:t>SO-YYYY-NNNN</w:t>
            </w:r>
          </w:p>
        </w:tc>
        <w:tc>
          <w:tcPr>
            <w:tcW w:type="dxa" w:w="2340"/>
          </w:tcPr>
          <w:p>
            <w:r>
              <w:t>None — commitment only</w:t>
            </w:r>
          </w:p>
        </w:tc>
      </w:tr>
      <w:tr>
        <w:tc>
          <w:tcPr>
            <w:tcW w:type="dxa" w:w="2340"/>
          </w:tcPr>
          <w:p>
            <w:r>
              <w:t>3</w:t>
            </w:r>
          </w:p>
        </w:tc>
        <w:tc>
          <w:tcPr>
            <w:tcW w:type="dxa" w:w="2340"/>
          </w:tcPr>
          <w:p>
            <w:r>
              <w:t>Delivery Note</w:t>
            </w:r>
          </w:p>
        </w:tc>
        <w:tc>
          <w:tcPr>
            <w:tcW w:type="dxa" w:w="2340"/>
          </w:tcPr>
          <w:p>
            <w:r>
              <w:t>DN-YYYY-NNNN</w:t>
            </w:r>
          </w:p>
        </w:tc>
        <w:tc>
          <w:tcPr>
            <w:tcW w:type="dxa" w:w="2340"/>
          </w:tcPr>
          <w:p>
            <w:r>
              <w:t>Dr COGS / Cr Inventory</w:t>
            </w:r>
          </w:p>
        </w:tc>
      </w:tr>
      <w:tr>
        <w:tc>
          <w:tcPr>
            <w:tcW w:type="dxa" w:w="2340"/>
          </w:tcPr>
          <w:p>
            <w:r>
              <w:t>4</w:t>
            </w:r>
          </w:p>
        </w:tc>
        <w:tc>
          <w:tcPr>
            <w:tcW w:type="dxa" w:w="2340"/>
          </w:tcPr>
          <w:p>
            <w:r>
              <w:t>AR Invoice</w:t>
            </w:r>
          </w:p>
        </w:tc>
        <w:tc>
          <w:tcPr>
            <w:tcW w:type="dxa" w:w="2340"/>
          </w:tcPr>
          <w:p>
            <w:r>
              <w:t>ARI-YYYY-NNNN</w:t>
            </w:r>
          </w:p>
        </w:tc>
        <w:tc>
          <w:tcPr>
            <w:tcW w:type="dxa" w:w="2340"/>
          </w:tcPr>
          <w:p>
            <w:r>
              <w:t>Dr Trade Receivables / Cr Revenue / Cr Output VAT</w:t>
            </w:r>
          </w:p>
        </w:tc>
      </w:tr>
      <w:tr>
        <w:tc>
          <w:tcPr>
            <w:tcW w:type="dxa" w:w="2340"/>
          </w:tcPr>
          <w:p>
            <w:r>
              <w:t>5</w:t>
            </w:r>
          </w:p>
        </w:tc>
        <w:tc>
          <w:tcPr>
            <w:tcW w:type="dxa" w:w="2340"/>
          </w:tcPr>
          <w:p>
            <w:r>
              <w:t>Customer Receipt</w:t>
            </w:r>
          </w:p>
        </w:tc>
        <w:tc>
          <w:tcPr>
            <w:tcW w:type="dxa" w:w="2340"/>
          </w:tcPr>
          <w:p>
            <w:r>
              <w:t>IPAY-YYYY-NNNN</w:t>
            </w:r>
          </w:p>
        </w:tc>
        <w:tc>
          <w:tcPr>
            <w:tcW w:type="dxa" w:w="2340"/>
          </w:tcPr>
          <w:p>
            <w:r>
              <w:t>Dr Bank / Cr Trade Receivables</w:t>
            </w:r>
          </w:p>
        </w:tc>
      </w:tr>
      <w:tr>
        <w:tc>
          <w:tcPr>
            <w:tcW w:type="dxa" w:w="2340"/>
          </w:tcPr>
          <w:p>
            <w:r>
              <w:t>R1</w:t>
            </w:r>
          </w:p>
        </w:tc>
        <w:tc>
          <w:tcPr>
            <w:tcW w:type="dxa" w:w="2340"/>
          </w:tcPr>
          <w:p>
            <w:r>
              <w:t>Return Request</w:t>
            </w:r>
          </w:p>
        </w:tc>
        <w:tc>
          <w:tcPr>
            <w:tcW w:type="dxa" w:w="2340"/>
          </w:tcPr>
          <w:p>
            <w:r>
              <w:t>RR-YYYY-NNNN</w:t>
            </w:r>
          </w:p>
        </w:tc>
        <w:tc>
          <w:tcPr>
            <w:tcW w:type="dxa" w:w="2340"/>
          </w:tcPr>
          <w:p>
            <w:r>
              <w:t>None — RMA authorisation only</w:t>
            </w:r>
          </w:p>
        </w:tc>
      </w:tr>
      <w:tr>
        <w:tc>
          <w:tcPr>
            <w:tcW w:type="dxa" w:w="2340"/>
          </w:tcPr>
          <w:p>
            <w:r>
              <w:t>R2</w:t>
            </w:r>
          </w:p>
        </w:tc>
        <w:tc>
          <w:tcPr>
            <w:tcW w:type="dxa" w:w="2340"/>
          </w:tcPr>
          <w:p>
            <w:r>
              <w:t>Return Note</w:t>
            </w:r>
          </w:p>
        </w:tc>
        <w:tc>
          <w:tcPr>
            <w:tcW w:type="dxa" w:w="2340"/>
          </w:tcPr>
          <w:p>
            <w:r>
              <w:t>RTN-YYYY-NNNN</w:t>
            </w:r>
          </w:p>
        </w:tc>
        <w:tc>
          <w:tcPr>
            <w:tcW w:type="dxa" w:w="2340"/>
          </w:tcPr>
          <w:p>
            <w:r>
              <w:t>Dr Inventory / Cr COGS (Delivery reversed)</w:t>
            </w:r>
          </w:p>
        </w:tc>
      </w:tr>
      <w:tr>
        <w:tc>
          <w:tcPr>
            <w:tcW w:type="dxa" w:w="2340"/>
          </w:tcPr>
          <w:p>
            <w:r>
              <w:t>R3</w:t>
            </w:r>
          </w:p>
        </w:tc>
        <w:tc>
          <w:tcPr>
            <w:tcW w:type="dxa" w:w="2340"/>
          </w:tcPr>
          <w:p>
            <w:r>
              <w:t>AR Credit Note</w:t>
            </w:r>
          </w:p>
        </w:tc>
        <w:tc>
          <w:tcPr>
            <w:tcW w:type="dxa" w:w="2340"/>
          </w:tcPr>
          <w:p>
            <w:r>
              <w:t>ARC-YYYY-NNNN</w:t>
            </w:r>
          </w:p>
        </w:tc>
        <w:tc>
          <w:tcPr>
            <w:tcW w:type="dxa" w:w="2340"/>
          </w:tcPr>
          <w:p>
            <w:r>
              <w:t>Dr Revenue / Dr Output VAT / Cr Trade Receivables</w:t>
            </w:r>
          </w:p>
        </w:tc>
      </w:tr>
    </w:tbl>
    <w:p/>
    <w:p>
      <w:r>
        <w:rPr>
          <w:b w:val="0"/>
          <w:i w:val="0"/>
          <w:sz w:val="22"/>
        </w:rPr>
        <w:t>Every document shares the same lifecycle: Draft → Open → optional Partly Closed → Closed → Cancelled. Cancelling an Open document with GL impact fires the reversal posting automatically.</w:t>
      </w:r>
    </w:p>
    <w:p>
      <w:pPr>
        <w:pStyle w:val="Heading1"/>
      </w:pPr>
      <w:r>
        <w:t>3. Documents shipped</w:t>
      </w:r>
    </w:p>
    <w:p>
      <w:pPr>
        <w:pStyle w:val="Heading2"/>
      </w:pPr>
      <w:r>
        <w:t>3.1 Sales Quote (SQ)</w:t>
      </w:r>
    </w:p>
    <w:p>
      <w:r>
        <w:rPr>
          <w:b w:val="0"/>
          <w:i w:val="0"/>
          <w:sz w:val="22"/>
        </w:rPr>
        <w:t>The Quote is a price offer with a validity date. It carries the customer, line items (with per-line discounts and tax codes), currency, and a BP reference field for the customer's own reference number. Posting a Quote moves it from Draft to Open and makes it the active offer; there is no GL impact.</w:t>
      </w:r>
    </w:p>
    <w:p>
      <w:r>
        <w:rPr>
          <w:b w:val="0"/>
          <w:i w:val="0"/>
          <w:sz w:val="22"/>
        </w:rPr>
        <w:t>The Quote detail page exposes a Convert to Sales Order action that copies the header and lines into a new Sales Order with its base reference pointing back at the originating Quote. When the SO is fully consumed by Deliveries, the source Quote automatically transitions to Closed — the chain is bidirectional and visible from either end.</w:t>
      </w:r>
    </w:p>
    <w:p>
      <w:r>
        <w:rPr>
          <w:b w:val="0"/>
          <w:i/>
          <w:sz w:val="22"/>
        </w:rPr>
        <w:t>UI: shipped. The status lifecycle and the Convert action work end-to-end.</w:t>
      </w:r>
    </w:p>
    <w:p>
      <w:pPr>
        <w:pStyle w:val="Heading2"/>
      </w:pPr>
      <w:r>
        <w:t>3.2 Sales Order (SO)</w:t>
      </w:r>
    </w:p>
    <w:p>
      <w:r>
        <w:rPr>
          <w:b w:val="0"/>
          <w:i w:val="0"/>
          <w:sz w:val="22"/>
        </w:rPr>
        <w:t>The Sales Order is the firm commitment to fulfil. It adds a required Delivery Date and a per-line Warehouse to the Quote model — these drive the eventual Delivery Note's dating and inventory draw. Each SO line tracks four quantities: orderedQty (the committed amount), deliveredQty (what has shipped), cancelledQty (what has been voided line-level), and openQty (the remainder). The detail page renders per-line progress bars so the accountant can see at a glance which lines are still outstanding.</w:t>
      </w:r>
    </w:p>
    <w:p>
      <w:r>
        <w:rPr>
          <w:b w:val="0"/>
          <w:i w:val="0"/>
          <w:sz w:val="22"/>
        </w:rPr>
        <w:t>Posting an SO runs a credit-limit check against the customer: their current open AR plus this SO's gross amount must not exceed their configured limit. If the limit would be breached, the post action returns the amount by which and the user must either reduce the SO or have a credit override applied before retrying.</w:t>
      </w:r>
    </w:p>
    <w:p>
      <w:r>
        <w:rPr>
          <w:b w:val="0"/>
          <w:i w:val="0"/>
          <w:sz w:val="22"/>
        </w:rPr>
        <w:t>The SO detail page exposes a Create Delivery action. The Delivery UI is the next surface to ship; until then the action is reachable as a route but the destination page is not yet built.</w:t>
      </w:r>
    </w:p>
    <w:p>
      <w:r>
        <w:rPr>
          <w:b w:val="0"/>
          <w:i/>
          <w:sz w:val="22"/>
        </w:rPr>
        <w:t>UI: shipped. From-Quote conversion: working end-to-end. From-SO Delivery creation: backend complete; UI page pending.</w:t>
      </w:r>
    </w:p>
    <w:p>
      <w:pPr>
        <w:pStyle w:val="Heading2"/>
      </w:pPr>
      <w:r>
        <w:t>3.3 Delivery Note (DN)</w:t>
      </w:r>
    </w:p>
    <w:p>
      <w:r>
        <w:rPr>
          <w:b w:val="0"/>
          <w:i w:val="0"/>
          <w:sz w:val="22"/>
        </w:rPr>
        <w:t>The Delivery Note records the physical shipment. Posting a Delivery fires the inventory-out journal — Dr COGS / Cr Inventory per line, using the item's cost-of-goods-sold account and inventory account from the item finance extension table. The action updates the source SO line's deliveredQty (and transitions the SO to Closed if all lines are fully delivered) and emits a delivery-posted event to the finance microservice, which produces the balanced journal entry in the General Ledger.</w:t>
      </w:r>
    </w:p>
    <w:p>
      <w:r>
        <w:rPr>
          <w:b w:val="0"/>
          <w:i/>
          <w:sz w:val="22"/>
        </w:rPr>
        <w:t>Backend: shipped. UI: pending — this is the headline gap in the chain.</w:t>
      </w:r>
    </w:p>
    <w:p>
      <w:pPr>
        <w:pStyle w:val="Heading2"/>
      </w:pPr>
      <w:r>
        <w:t>3.4 AR Invoice (ARI)</w:t>
      </w:r>
    </w:p>
    <w:p>
      <w:r>
        <w:rPr>
          <w:b w:val="0"/>
          <w:i w:val="0"/>
          <w:sz w:val="22"/>
        </w:rPr>
        <w:t>The AR Invoice is the revenue-recognition document. Posting an ARI fires the canonical sale journal: Dr Trade Receivables (the customer's AR control account) / Cr Revenue (per line, using the item's revenue account) / Cr Output VAT (combined across lines, using the company posting setup's output VAT account). The invoice tracks totalAmount, paidAmount, creditedAmount, and openAmount; these drive the AR Aging buckets and the eventual settlement.</w:t>
      </w:r>
    </w:p>
    <w:p>
      <w:r>
        <w:rPr>
          <w:b w:val="0"/>
          <w:i w:val="0"/>
          <w:sz w:val="22"/>
        </w:rPr>
        <w:t>The AR Invoice detail page exposes a Receive Payment action when status is Open. This is the highest-traffic entry point in day-to-day accountant work — it lands on a pre-filled Customer Receipt form with the invoice's open amount allocated against itself.</w:t>
      </w:r>
    </w:p>
    <w:p>
      <w:r>
        <w:rPr>
          <w:b w:val="0"/>
          <w:i w:val="0"/>
          <w:sz w:val="22"/>
        </w:rPr>
        <w:t>In the canonical flow an AR Invoice is created from a Delivery. A manual direct-create path also exists for cash-sale scenarios that bypass the Delivery step. Both paths are implemented; the from-Delivery flow can be exercised today through the create-form URL or the Delivery detail page's Generate Invoice button (which lands when the Delivery UI ships).</w:t>
      </w:r>
    </w:p>
    <w:p>
      <w:r>
        <w:rPr>
          <w:b w:val="0"/>
          <w:i/>
          <w:sz w:val="22"/>
        </w:rPr>
        <w:t>UI: shipped — list, direct create, from-Delivery copy (via URL), edit, detail.</w:t>
      </w:r>
    </w:p>
    <w:p>
      <w:pPr>
        <w:pStyle w:val="Heading2"/>
      </w:pPr>
      <w:r>
        <w:t>3.5 Customer Receipt (IPAY)</w:t>
      </w:r>
    </w:p>
    <w:p>
      <w:r>
        <w:rPr>
          <w:b w:val="0"/>
          <w:i w:val="0"/>
          <w:sz w:val="22"/>
        </w:rPr>
        <w:t>The Customer Receipt records the cash application. It carries the customer, doc date, a bank account (the asset account where the funds land), a payment method (Bank Transfer / Cash / Cheque / Card), a reference number, and an allocations table. Each allocation row maps to one open AR Invoice with an applied amount; the sum of applied amounts must equal the receipt's total. Over-allocation and under-allocation are rejected at submit.</w:t>
      </w:r>
    </w:p>
    <w:p>
      <w:r>
        <w:rPr>
          <w:b w:val="0"/>
          <w:i w:val="0"/>
          <w:sz w:val="22"/>
        </w:rPr>
        <w:t>Posting a Receipt fires Dr Bank / Cr Trade Receivables. Each allocated AR Invoice's paidAmount and openAmount update transactionally, and invoices that reach openAmount = 0 transition to Closed. The detail page's allocation rows are clickable links back to the source invoices, so cash can be traced directly to the originating sale and from there to its base Quote.</w:t>
      </w:r>
    </w:p>
    <w:p>
      <w:r>
        <w:rPr>
          <w:b w:val="0"/>
          <w:i/>
          <w:sz w:val="22"/>
        </w:rPr>
        <w:t>UI: shipped — list, direct create, from-Invoice flow, edit, detail.</w:t>
      </w:r>
    </w:p>
    <w:p>
      <w:pPr>
        <w:pStyle w:val="Heading2"/>
      </w:pPr>
      <w:r>
        <w:t>3.6 Return Request (RR)</w:t>
      </w:r>
    </w:p>
    <w:p>
      <w:r>
        <w:rPr>
          <w:b w:val="0"/>
          <w:i w:val="0"/>
          <w:sz w:val="22"/>
        </w:rPr>
        <w:t>The Return Request is the returns equivalent of a Quote — customer-side authorisation (RMA) with a reason code, line-level quantities, and a validity date. Each RR line tracks requestedQty and consumedQty; the consumedQty increments as Return Notes draw against the RR, and the RR auto-closes when all lines are fully consumed. The RR has no GL impact; it is commitment-only.</w:t>
      </w:r>
    </w:p>
    <w:p>
      <w:r>
        <w:rPr>
          <w:b w:val="0"/>
          <w:i/>
          <w:sz w:val="22"/>
        </w:rPr>
        <w:t>Backend: shipped. UI: pending.</w:t>
      </w:r>
    </w:p>
    <w:p>
      <w:pPr>
        <w:pStyle w:val="Heading2"/>
      </w:pPr>
      <w:r>
        <w:t>3.7 Return Note (RTN)</w:t>
      </w:r>
    </w:p>
    <w:p>
      <w:r>
        <w:rPr>
          <w:b w:val="0"/>
          <w:i w:val="0"/>
          <w:sz w:val="22"/>
        </w:rPr>
        <w:t>The Return Note is the physical-receipt counterpart of the Delivery Note. It restores inventory and fires the inventory-in journal: Dr Inventory / Cr COGS per line — the Delivery's COGS posting reversed. It updates the source RR's consumedQty and may close the RR if fully consumed; it also updates the source Delivery line's returnedQty for traceability.</w:t>
      </w:r>
    </w:p>
    <w:p>
      <w:r>
        <w:rPr>
          <w:b w:val="0"/>
          <w:i/>
          <w:sz w:val="22"/>
        </w:rPr>
        <w:t>Backend: shipped; the chain is verified end-to-end against the test data (ARI-2026-0001 → RR-2026-0005 → RTN-2026-0001 → ARC-2026-0001 all post balanced journal entries). UI: pending.</w:t>
      </w:r>
    </w:p>
    <w:p>
      <w:pPr>
        <w:pStyle w:val="Heading2"/>
      </w:pPr>
      <w:r>
        <w:t>3.8 AR Credit Note (ARC)</w:t>
      </w:r>
    </w:p>
    <w:p>
      <w:r>
        <w:rPr>
          <w:b w:val="0"/>
          <w:i w:val="0"/>
          <w:sz w:val="22"/>
        </w:rPr>
        <w:t>The AR Credit Note is the financial reversal — the revenue-side counterpart to the Return Note's inventory-side reversal. Posting an ARC fires Dr Revenue (per line) / Dr Output VAT (combined) / Cr Trade Receivables, the reverse of the original AR Invoice posting. It updates the source AR Invoice's creditedAmount and openAmount; invoices that are fully credited transition to Closed.</w:t>
      </w:r>
    </w:p>
    <w:p>
      <w:r>
        <w:rPr>
          <w:b w:val="0"/>
          <w:i w:val="0"/>
          <w:sz w:val="22"/>
        </w:rPr>
        <w:t>A Credit Note can be issued against a fully-paid AR Invoice as well — in that case it becomes a refund obligation tracked separately. The common path is a credit against an open or partly-closed invoice, which reduces the customer's outstanding balance and is reflected immediately in the AR Aging report.</w:t>
      </w:r>
    </w:p>
    <w:p>
      <w:r>
        <w:rPr>
          <w:b w:val="0"/>
          <w:i/>
          <w:sz w:val="22"/>
        </w:rPr>
        <w:t>Backend: shipped. UI: pending.</w:t>
      </w:r>
    </w:p>
    <w:p>
      <w:pPr>
        <w:pStyle w:val="Heading1"/>
      </w:pPr>
      <w:r>
        <w:t>4. AR Aging Report</w:t>
      </w:r>
    </w:p>
    <w:p>
      <w:r>
        <w:rPr>
          <w:b w:val="0"/>
          <w:i w:val="0"/>
          <w:sz w:val="22"/>
        </w:rPr>
        <w:t>The AR Aging report is the single most-used surface for an AR-side accountant. It groups every open or partly-closed AR Invoice by customer and currency, and buckets the outstanding amount by days overdue against an as-of date.</w:t>
      </w:r>
    </w:p>
    <w:tbl>
      <w:tblPr>
        <w:tblStyle w:val="LightGrid-Accent1"/>
        <w:tblW w:type="auto" w:w="0"/>
        <w:tblLook w:firstColumn="1" w:firstRow="1" w:lastColumn="0" w:lastRow="0" w:noHBand="0" w:noVBand="1" w:val="04A0"/>
      </w:tblPr>
      <w:tblGrid>
        <w:gridCol w:w="4680"/>
        <w:gridCol w:w="4680"/>
      </w:tblGrid>
      <w:tr>
        <w:tc>
          <w:tcPr>
            <w:tcW w:type="dxa" w:w="4680"/>
          </w:tcPr>
          <w:p>
            <w:r>
              <w:rPr>
                <w:b/>
              </w:rPr>
              <w:t>Bucket</w:t>
            </w:r>
          </w:p>
        </w:tc>
        <w:tc>
          <w:tcPr>
            <w:tcW w:type="dxa" w:w="4680"/>
          </w:tcPr>
          <w:p>
            <w:r>
              <w:rPr>
                <w:b/>
              </w:rPr>
              <w:t>Definition</w:t>
            </w:r>
          </w:p>
        </w:tc>
      </w:tr>
      <w:tr>
        <w:tc>
          <w:tcPr>
            <w:tcW w:type="dxa" w:w="4680"/>
          </w:tcPr>
          <w:p>
            <w:r>
              <w:t>Current</w:t>
            </w:r>
          </w:p>
        </w:tc>
        <w:tc>
          <w:tcPr>
            <w:tcW w:type="dxa" w:w="4680"/>
          </w:tcPr>
          <w:p>
            <w:r>
              <w:t>due date is in the future, or equal to the as-of date</w:t>
            </w:r>
          </w:p>
        </w:tc>
      </w:tr>
      <w:tr>
        <w:tc>
          <w:tcPr>
            <w:tcW w:type="dxa" w:w="4680"/>
          </w:tcPr>
          <w:p>
            <w:r>
              <w:t>1-30</w:t>
            </w:r>
          </w:p>
        </w:tc>
        <w:tc>
          <w:tcPr>
            <w:tcW w:type="dxa" w:w="4680"/>
          </w:tcPr>
          <w:p>
            <w:r>
              <w:t>1 to 30 days overdue (inclusive)</w:t>
            </w:r>
          </w:p>
        </w:tc>
      </w:tr>
      <w:tr>
        <w:tc>
          <w:tcPr>
            <w:tcW w:type="dxa" w:w="4680"/>
          </w:tcPr>
          <w:p>
            <w:r>
              <w:t>31-60</w:t>
            </w:r>
          </w:p>
        </w:tc>
        <w:tc>
          <w:tcPr>
            <w:tcW w:type="dxa" w:w="4680"/>
          </w:tcPr>
          <w:p>
            <w:r>
              <w:t>31 to 60 days overdue (inclusive)</w:t>
            </w:r>
          </w:p>
        </w:tc>
      </w:tr>
      <w:tr>
        <w:tc>
          <w:tcPr>
            <w:tcW w:type="dxa" w:w="4680"/>
          </w:tcPr>
          <w:p>
            <w:r>
              <w:t>61-90</w:t>
            </w:r>
          </w:p>
        </w:tc>
        <w:tc>
          <w:tcPr>
            <w:tcW w:type="dxa" w:w="4680"/>
          </w:tcPr>
          <w:p>
            <w:r>
              <w:t>61 to 90 days overdue (inclusive)</w:t>
            </w:r>
          </w:p>
        </w:tc>
      </w:tr>
      <w:tr>
        <w:tc>
          <w:tcPr>
            <w:tcW w:type="dxa" w:w="4680"/>
          </w:tcPr>
          <w:p>
            <w:r>
              <w:t>Over 90</w:t>
            </w:r>
          </w:p>
        </w:tc>
        <w:tc>
          <w:tcPr>
            <w:tcW w:type="dxa" w:w="4680"/>
          </w:tcPr>
          <w:p>
            <w:r>
              <w:t>more than 90 days overdue</w:t>
            </w:r>
          </w:p>
        </w:tc>
      </w:tr>
    </w:tbl>
    <w:p/>
    <w:p>
      <w:r>
        <w:rPr>
          <w:b w:val="0"/>
          <w:i w:val="0"/>
          <w:sz w:val="22"/>
        </w:rPr>
        <w:t>The page exposes filter inputs (as-of date, customer, currency), five grand-totals stat cards across the top with the two right-most buckets highlighted in warning colours, a sortable per-customer table with bucket columns and invoice count, click-to-drill from any customer row into the filtered AR Invoices list, and CSV export. The accountant uses this surface to answer "who owes me money and how late are they?" and to drive collection conversations.</w:t>
      </w:r>
    </w:p>
    <w:p>
      <w:r>
        <w:rPr>
          <w:b w:val="0"/>
          <w:i/>
          <w:sz w:val="22"/>
        </w:rPr>
        <w:t>UI: shipped.</w:t>
      </w:r>
    </w:p>
    <w:p>
      <w:pPr>
        <w:pStyle w:val="Heading1"/>
      </w:pPr>
      <w:r>
        <w:t>5. What is available to the accountant today</w:t>
      </w:r>
    </w:p>
    <w:p>
      <w:r>
        <w:rPr>
          <w:b w:val="0"/>
          <w:i w:val="0"/>
          <w:sz w:val="22"/>
        </w:rPr>
        <w:t>End-to-end workflows that work right now through the UI:</w:t>
      </w:r>
    </w:p>
    <w:p>
      <w:pPr>
        <w:pStyle w:val="ListBullet"/>
      </w:pPr>
      <w:r>
        <w:t>Create and post a Sales Quote.</w:t>
      </w:r>
    </w:p>
    <w:p>
      <w:pPr>
        <w:pStyle w:val="ListBullet"/>
      </w:pPr>
      <w:r>
        <w:t>Convert a Quote to a Sales Order, including the credit-limit check at post time.</w:t>
      </w:r>
    </w:p>
    <w:p>
      <w:pPr>
        <w:pStyle w:val="ListBullet"/>
      </w:pPr>
      <w:r>
        <w:t>View the SO detail page with per-line fulfilment progress (orderedQty / deliveredQty / cancelledQty / openQty) and progress bars.</w:t>
      </w:r>
    </w:p>
    <w:p>
      <w:pPr>
        <w:pStyle w:val="ListBullet"/>
      </w:pPr>
      <w:r>
        <w:t>Create an AR Invoice — either directly (cash-sale path) or from an existing Delivery via URL.</w:t>
      </w:r>
    </w:p>
    <w:p>
      <w:pPr>
        <w:pStyle w:val="ListBullet"/>
      </w:pPr>
      <w:r>
        <w:t>Receive a customer payment against any open AR Invoice; allocate against one or more invoices in a single receipt.</w:t>
      </w:r>
    </w:p>
    <w:p>
      <w:pPr>
        <w:pStyle w:val="ListBullet"/>
      </w:pPr>
      <w:r>
        <w:t>View the AR Aging report with as-of-date, customer, and currency filters; sort by any bucket or by total; drill into a customer's open invoices.</w:t>
      </w:r>
    </w:p>
    <w:p>
      <w:pPr>
        <w:pStyle w:val="ListBullet"/>
      </w:pPr>
      <w:r>
        <w:t>Export the AR Aging report to CSV for offline analysis.</w:t>
      </w:r>
    </w:p>
    <w:p>
      <w:r>
        <w:rPr>
          <w:b w:val="0"/>
          <w:i w:val="0"/>
          <w:sz w:val="22"/>
        </w:rPr>
      </w:r>
    </w:p>
    <w:p>
      <w:r>
        <w:rPr>
          <w:b w:val="0"/>
          <w:i w:val="0"/>
          <w:sz w:val="22"/>
        </w:rPr>
        <w:t>Document navigation also works across every shipped page: each detail page exposes a Doc Chain card linking to the base document (what this came from) and any target documents (what came from this). The chain makes it trivial to trace cash from a Receipt back through its Invoice to the source Sales Order and originating Quote.</w:t>
      </w:r>
    </w:p>
    <w:p>
      <w:pPr>
        <w:pStyle w:val="Heading1"/>
      </w:pPr>
      <w:r>
        <w:t>6. What still remains for v1</w:t>
      </w:r>
    </w:p>
    <w:p>
      <w:r>
        <w:rPr>
          <w:b w:val="0"/>
          <w:i w:val="0"/>
          <w:sz w:val="22"/>
        </w:rPr>
        <w:t>Remaining UI surfaces, in the order they are scheduled to ship:</w:t>
      </w:r>
    </w:p>
    <w:p>
      <w:pPr>
        <w:pStyle w:val="ListBullet"/>
      </w:pPr>
      <w:r>
        <w:t>Delivery Note — the headline gap; closes the Sales Order → AR Invoice link in the UI.</w:t>
      </w:r>
    </w:p>
    <w:p>
      <w:pPr>
        <w:pStyle w:val="ListBullet"/>
      </w:pPr>
      <w:r>
        <w:t>Return Request — RMA authorisation page.</w:t>
      </w:r>
    </w:p>
    <w:p>
      <w:pPr>
        <w:pStyle w:val="ListBullet"/>
      </w:pPr>
      <w:r>
        <w:t>Return Note — physical receipt and inventory restoration page.</w:t>
      </w:r>
    </w:p>
    <w:p>
      <w:pPr>
        <w:pStyle w:val="ListBullet"/>
      </w:pPr>
      <w:r>
        <w:t>AR Credit Note — financial reversal page.</w:t>
      </w:r>
    </w:p>
    <w:p>
      <w:pPr>
        <w:pStyle w:val="ListBullet"/>
      </w:pPr>
      <w:r>
        <w:t>Sales Items master with item-cost data — closes the AED 0.00 inventory amount that currently appears on Returns postings.</w:t>
      </w:r>
    </w:p>
    <w:p>
      <w:pPr>
        <w:pStyle w:val="ListBullet"/>
      </w:pPr>
      <w:r>
        <w:t>Company Posting Setup UI — admin tool that replaces the database-migration approach currently used to wire new tenants' chart of accounts.</w:t>
      </w:r>
    </w:p>
    <w:p>
      <w:pPr>
        <w:pStyle w:val="ListBullet"/>
      </w:pPr>
      <w:r>
        <w:t>Legacy /sales/orders cutover — removes the parallel legacy module once the rebuilt module is fully validated.</w:t>
      </w:r>
    </w:p>
    <w:p>
      <w:r>
        <w:rPr>
          <w:b w:val="0"/>
          <w:i w:val="0"/>
          <w:sz w:val="22"/>
        </w:rPr>
      </w:r>
    </w:p>
    <w:p>
      <w:r>
        <w:rPr>
          <w:b w:val="0"/>
          <w:i w:val="0"/>
          <w:sz w:val="22"/>
        </w:rPr>
        <w:t>Deferred to later phases of the same Wave:</w:t>
      </w:r>
    </w:p>
    <w:p>
      <w:pPr>
        <w:pStyle w:val="ListBullet"/>
      </w:pPr>
      <w:r>
        <w:t>Wave 3 Phase 3 — Down Payment, Reserve Invoice, Cash Sale, Blanket Agreement. These extend the document model with prepayment and frame-contract semantics, drawn from SAP B1 functional parity.</w:t>
      </w:r>
    </w:p>
    <w:p>
      <w:pPr>
        <w:pStyle w:val="ListBullet"/>
      </w:pPr>
      <w:r>
        <w:t>Wave 3 Phase 4 — Customer Sub-Ledger, Customer Statements, Sales-to-GL Reconciliation, VAT Return. Further AR reports beyond AR Aging.</w:t>
      </w:r>
    </w:p>
    <w:p>
      <w:pPr>
        <w:pStyle w:val="ListBullet"/>
      </w:pPr>
      <w:r>
        <w:t>Wave 4 — Purchasing parity upgrade. Mirror the Wave 3 enhancements on the purchasing side (Blanket Agreement, Quotation, Returns flow with restocking fee, Down Payment, Vendor Refund).</w:t>
      </w:r>
    </w:p>
    <w:p>
      <w:pPr>
        <w:pStyle w:val="Heading1"/>
      </w:pPr>
      <w:r>
        <w:t>7. Known gaps the accountant will encounter during testing</w:t>
      </w:r>
    </w:p>
    <w:p>
      <w:r>
        <w:rPr>
          <w:b w:val="0"/>
          <w:i w:val="0"/>
          <w:sz w:val="22"/>
        </w:rPr>
        <w:t>The acceptance-test build today has three product-visible gaps that the accountant should be aware of:</w:t>
      </w:r>
    </w:p>
    <w:p>
      <w:pPr>
        <w:pStyle w:val="ListBullet"/>
      </w:pPr>
      <w:r>
        <w:t>Audit History button is hidden on every sales document detail page. The button used in the finance module relies on a backend endpoint that today serves only finance entities. A sales-side audit endpoint is in flight; the button reappears once it ships. The sales documents already maintain their own per-document audit collections in the database, so no audit data is lost in the meantime.</w:t>
      </w:r>
    </w:p>
    <w:p>
      <w:pPr>
        <w:pStyle w:val="ListBullet"/>
      </w:pPr>
      <w:r>
        <w:t>Attachment upload on sales documents returns an error. The list of attachments works (an empty list is shown initially), but the upload routing for sales document types is a known gap, tracked for resolution.</w:t>
      </w:r>
    </w:p>
    <w:p>
      <w:pPr>
        <w:pStyle w:val="ListBullet"/>
      </w:pPr>
      <w:r>
        <w:t>Returns postings currently show Dr Inventory 0.00 / Cr COGS 0.00 in the General Ledger. The arithmetic is correct; the inputs (item cost data) are zero in the current test dataset. The forthcoming Sales Items master and item-finance-extension seed task will populate realistic cost figures and the journal-entry amounts will appear correctly without code change.</w:t>
      </w:r>
    </w:p>
    <w:p>
      <w:pPr>
        <w:pStyle w:val="Heading1"/>
      </w:pPr>
      <w:r>
        <w:t>Conclusion</w:t>
      </w:r>
    </w:p>
    <w:p>
      <w:r>
        <w:rPr>
          <w:b w:val="0"/>
          <w:i w:val="0"/>
          <w:sz w:val="22"/>
        </w:rPr>
        <w:t>The Sales Module's backend is feature-complete and verified for the Phase 2 scope; the UI delivers the highest-traffic AR surfaces (AR Invoice, Customer Receipt, AR Aging) and the upstream commitment documents (Quote, Sales Order). What remains is mechanical extension of the same pattern to the four remaining document types and two admin surfaces, plus the deferred Phase 3 and Phase 4 work that builds on top of the foundation now in place.</w:t>
      </w:r>
    </w:p>
    <w:p>
      <w:pPr>
        <w:pStyle w:val="Heading1"/>
      </w:pPr>
      <w:r>
        <w:t>Reference Documents</w:t>
      </w:r>
    </w:p>
    <w:p>
      <w:pPr>
        <w:pStyle w:val="ListBullet"/>
      </w:pPr>
      <w:r>
        <w:t>SALES_USER_GUIDE.docx — end-user walkthrough of the procedures available today.</w:t>
      </w:r>
    </w:p>
    <w:p>
      <w:pPr>
        <w:pStyle w:val="ListBullet"/>
      </w:pPr>
      <w:r>
        <w:t>FINANCE_PM_REPORT_POST_D.docx — preceding finance module post-Phase D delta report.</w:t>
      </w:r>
    </w:p>
    <w:p>
      <w:pPr>
        <w:pStyle w:val="ListBullet"/>
      </w:pPr>
      <w:r>
        <w:t>FINANCE_USER_GUIDE.docx — finance module end-user guide.</w:t>
      </w:r>
    </w:p>
    <w:p>
      <w:pPr>
        <w:pStyle w:val="ListBullet"/>
      </w:pPr>
      <w:r>
        <w:t>Document-Conventions.md — Wave 3 document chain contract document.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