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A64 Core Platform</w:t>
      </w:r>
    </w:p>
    <w:p>
      <w:pPr>
        <w:jc w:val="center"/>
      </w:pPr>
      <w:r>
        <w:rPr>
          <w:color w:val="4B4B4B"/>
          <w:sz w:val="36"/>
        </w:rPr>
        <w:t>Sales Module — Accountant Tutorial</w:t>
      </w:r>
    </w:p>
    <w:p>
      <w:pPr>
        <w:jc w:val="center"/>
      </w:pPr>
      <w:r>
        <w:rPr>
          <w:i/>
          <w:sz w:val="28"/>
        </w:rPr>
        <w:t>End-to-End Credit-Sale Procedures</w:t>
      </w:r>
    </w:p>
    <w:p/>
    <w:p>
      <w:pPr>
        <w:jc w:val="center"/>
      </w:pPr>
      <w:r>
        <w:rPr>
          <w:color w:val="808080"/>
          <w:sz w:val="20"/>
        </w:rPr>
        <w:t>Version 1.0  |  2026-05-30</w:t>
      </w:r>
    </w:p>
    <w:p>
      <w:r>
        <w:br w:type="page"/>
      </w:r>
    </w:p>
    <w:p>
      <w:pPr>
        <w:pStyle w:val="Heading1"/>
      </w:pPr>
      <w:r>
        <w:rPr>
          <w:color w:val="1F3A5F"/>
        </w:rPr>
        <w:t>Who this tutorial is for</w:t>
      </w:r>
    </w:p>
    <w:p>
      <w:r>
        <w:rPr>
          <w:b w:val="0"/>
          <w:i w:val="0"/>
          <w:sz w:val="22"/>
        </w:rPr>
        <w:t>This tutorial is written for the AR-side accountant who will exercise the Sales module end-to-end during acceptance testing. The procedures here follow the linear credit-sale lifecycle from initial customer Quote through settlement and outstanding-balance reporting. Each procedure is independently executable; you can use any individual section as a reference card.</w:t>
      </w:r>
    </w:p>
    <w:p>
      <w:r>
        <w:rPr>
          <w:b w:val="0"/>
          <w:i w:val="0"/>
          <w:sz w:val="22"/>
        </w:rPr>
      </w:r>
    </w:p>
    <w:p>
      <w:r>
        <w:rPr>
          <w:b w:val="0"/>
          <w:i w:val="0"/>
          <w:sz w:val="22"/>
        </w:rPr>
        <w:t>The system is aligned to SAP Business One conventions, so terminology and workflow patterns will be familiar if you have an SAP B1 background. Document numbers (DocNum) are human-readable yearly sequences such as ARI-2026-0001. Behind the scenes every document also carries an internal DocEntry UUID — you rarely need to see this, but you may encounter it in URLs.</w:t>
      </w:r>
    </w:p>
    <w:p>
      <w:pPr>
        <w:pStyle w:val="Heading2"/>
      </w:pPr>
      <w:r>
        <w:rPr>
          <w:color w:val="1F3A5F"/>
        </w:rPr>
        <w:t>Prerequisites</w:t>
      </w:r>
    </w:p>
    <w:p>
      <w:pPr>
        <w:pStyle w:val="ListBullet"/>
        <w:ind w:left="576"/>
      </w:pPr>
      <w:r>
        <w:t>Login credentials with the sales.create / sales.edit / sales.view permissions</w:t>
      </w:r>
    </w:p>
    <w:p>
      <w:pPr>
        <w:pStyle w:val="ListBullet"/>
        <w:ind w:left="576"/>
      </w:pPr>
      <w:r>
        <w:t>Customer record(s) exist (created via the Customers UI or imported)</w:t>
      </w:r>
    </w:p>
    <w:p>
      <w:pPr>
        <w:pStyle w:val="ListBullet"/>
        <w:ind w:left="576"/>
      </w:pPr>
      <w:r>
        <w:t>At least one Sales Item with revenue and COGS account assignments</w:t>
      </w:r>
    </w:p>
    <w:p>
      <w:pPr>
        <w:pStyle w:val="ListBullet"/>
        <w:ind w:left="576"/>
      </w:pPr>
      <w:r>
        <w:t>Active Fiscal Period covering the documents' transaction dates</w:t>
      </w:r>
    </w:p>
    <w:p>
      <w:pPr>
        <w:pStyle w:val="ListBullet"/>
        <w:ind w:left="576"/>
      </w:pPr>
      <w:r>
        <w:t>Company Posting Setup row exists for the active company code</w:t>
      </w:r>
    </w:p>
    <w:p>
      <w:r>
        <w:rPr>
          <w:b w:val="0"/>
          <w:i w:val="0"/>
          <w:sz w:val="22"/>
        </w:rPr>
      </w:r>
    </w:p>
    <w:p>
      <w:pPr>
        <w:ind w:left="576"/>
      </w:pPr>
      <w:r>
        <w:rPr>
          <w:b/>
          <w:color w:val="1F3A5F"/>
        </w:rPr>
        <w:t xml:space="preserve">[Note] </w:t>
      </w:r>
      <w:r>
        <w:rPr>
          <w:i/>
          <w:sz w:val="20"/>
        </w:rPr>
        <w:t>If any prerequisite is missing, the relevant API call will return a 400 error explaining what is required. Most prerequisites are seeded out-of-the-box for the test tenant (A001).</w:t>
      </w:r>
    </w:p>
    <w:p>
      <w:pPr>
        <w:pStyle w:val="Heading2"/>
      </w:pPr>
      <w:r>
        <w:rPr>
          <w:color w:val="1F3A5F"/>
        </w:rPr>
        <w:t>What you can do today (and what is pending)</w:t>
      </w:r>
    </w:p>
    <w:tbl>
      <w:tblPr>
        <w:tblStyle w:val="LightGrid-Accent1"/>
        <w:tblW w:type="auto" w:w="0"/>
        <w:tblLook w:firstColumn="1" w:firstRow="1" w:lastColumn="0" w:lastRow="0" w:noHBand="0" w:noVBand="1" w:val="04A0"/>
      </w:tblPr>
      <w:tblGrid>
        <w:gridCol w:w="4680"/>
        <w:gridCol w:w="4680"/>
      </w:tblGrid>
      <w:tr>
        <w:tc>
          <w:tcPr>
            <w:tcW w:type="dxa" w:w="4680"/>
            <w:shd w:val="clear" w:color="auto" w:fill="1F3A5F"/>
          </w:tcPr>
          <w:p>
            <w:r>
              <w:rPr>
                <w:b/>
                <w:color w:val="FFFFFF"/>
              </w:rPr>
              <w:t>Procedure</w:t>
            </w:r>
          </w:p>
        </w:tc>
        <w:tc>
          <w:tcPr>
            <w:tcW w:type="dxa" w:w="4680"/>
            <w:shd w:val="clear" w:color="auto" w:fill="1F3A5F"/>
          </w:tcPr>
          <w:p>
            <w:r>
              <w:rPr>
                <w:b/>
                <w:color w:val="FFFFFF"/>
              </w:rPr>
              <w:t>Status</w:t>
            </w:r>
          </w:p>
        </w:tc>
      </w:tr>
      <w:tr>
        <w:tc>
          <w:tcPr>
            <w:tcW w:type="dxa" w:w="4680"/>
          </w:tcPr>
          <w:p>
            <w:r>
              <w:t>Create / post / cancel Sales Quote</w:t>
            </w:r>
          </w:p>
        </w:tc>
        <w:tc>
          <w:tcPr>
            <w:tcW w:type="dxa" w:w="4680"/>
          </w:tcPr>
          <w:p>
            <w:r>
              <w:t>Available</w:t>
            </w:r>
          </w:p>
        </w:tc>
      </w:tr>
      <w:tr>
        <w:tc>
          <w:tcPr>
            <w:tcW w:type="dxa" w:w="4680"/>
          </w:tcPr>
          <w:p>
            <w:r>
              <w:t>Convert Quote to Sales Order</w:t>
            </w:r>
          </w:p>
        </w:tc>
        <w:tc>
          <w:tcPr>
            <w:tcW w:type="dxa" w:w="4680"/>
          </w:tcPr>
          <w:p>
            <w:r>
              <w:t>Available</w:t>
            </w:r>
          </w:p>
        </w:tc>
      </w:tr>
      <w:tr>
        <w:tc>
          <w:tcPr>
            <w:tcW w:type="dxa" w:w="4680"/>
          </w:tcPr>
          <w:p>
            <w:r>
              <w:t>Create / post / cancel Sales Order</w:t>
            </w:r>
          </w:p>
        </w:tc>
        <w:tc>
          <w:tcPr>
            <w:tcW w:type="dxa" w:w="4680"/>
          </w:tcPr>
          <w:p>
            <w:r>
              <w:t>Available</w:t>
            </w:r>
          </w:p>
        </w:tc>
      </w:tr>
      <w:tr>
        <w:tc>
          <w:tcPr>
            <w:tcW w:type="dxa" w:w="4680"/>
          </w:tcPr>
          <w:p>
            <w:r>
              <w:t>Create Delivery from Sales Order (UI)</w:t>
            </w:r>
          </w:p>
        </w:tc>
        <w:tc>
          <w:tcPr>
            <w:tcW w:type="dxa" w:w="4680"/>
          </w:tcPr>
          <w:p>
            <w:r>
              <w:t>Pending — backend works; UI in next task</w:t>
            </w:r>
          </w:p>
        </w:tc>
      </w:tr>
      <w:tr>
        <w:tc>
          <w:tcPr>
            <w:tcW w:type="dxa" w:w="4680"/>
          </w:tcPr>
          <w:p>
            <w:r>
              <w:t>Create AR Invoice from Delivery</w:t>
            </w:r>
          </w:p>
        </w:tc>
        <w:tc>
          <w:tcPr>
            <w:tcW w:type="dxa" w:w="4680"/>
          </w:tcPr>
          <w:p>
            <w:r>
              <w:t>Available (backend); UI from-delivery flow works</w:t>
            </w:r>
          </w:p>
        </w:tc>
      </w:tr>
      <w:tr>
        <w:tc>
          <w:tcPr>
            <w:tcW w:type="dxa" w:w="4680"/>
          </w:tcPr>
          <w:p>
            <w:r>
              <w:t>Receive Customer Payment (cash application)</w:t>
            </w:r>
          </w:p>
        </w:tc>
        <w:tc>
          <w:tcPr>
            <w:tcW w:type="dxa" w:w="4680"/>
          </w:tcPr>
          <w:p>
            <w:r>
              <w:t>Available</w:t>
            </w:r>
          </w:p>
        </w:tc>
      </w:tr>
      <w:tr>
        <w:tc>
          <w:tcPr>
            <w:tcW w:type="dxa" w:w="4680"/>
          </w:tcPr>
          <w:p>
            <w:r>
              <w:t>View AR Aging report</w:t>
            </w:r>
          </w:p>
        </w:tc>
        <w:tc>
          <w:tcPr>
            <w:tcW w:type="dxa" w:w="4680"/>
          </w:tcPr>
          <w:p>
            <w:r>
              <w:t>Available</w:t>
            </w:r>
          </w:p>
        </w:tc>
      </w:tr>
      <w:tr>
        <w:tc>
          <w:tcPr>
            <w:tcW w:type="dxa" w:w="4680"/>
          </w:tcPr>
          <w:p>
            <w:r>
              <w:t>Return Request / Return Note / AR Credit Note (UI)</w:t>
            </w:r>
          </w:p>
        </w:tc>
        <w:tc>
          <w:tcPr>
            <w:tcW w:type="dxa" w:w="4680"/>
          </w:tcPr>
          <w:p>
            <w:r>
              <w:t>Pending — backend works; UI in following tasks</w:t>
            </w:r>
          </w:p>
        </w:tc>
      </w:tr>
      <w:tr>
        <w:tc>
          <w:tcPr>
            <w:tcW w:type="dxa" w:w="4680"/>
          </w:tcPr>
          <w:p>
            <w:r>
              <w:t>Attach files to sales documents</w:t>
            </w:r>
          </w:p>
        </w:tc>
        <w:tc>
          <w:tcPr>
            <w:tcW w:type="dxa" w:w="4680"/>
          </w:tcPr>
          <w:p>
            <w:r>
              <w:t>Pending — backend gap; listing works</w:t>
            </w:r>
          </w:p>
        </w:tc>
      </w:tr>
      <w:tr>
        <w:tc>
          <w:tcPr>
            <w:tcW w:type="dxa" w:w="4680"/>
          </w:tcPr>
          <w:p>
            <w:r>
              <w:t>View Audit History on a sales document</w:t>
            </w:r>
          </w:p>
        </w:tc>
        <w:tc>
          <w:tcPr>
            <w:tcW w:type="dxa" w:w="4680"/>
          </w:tcPr>
          <w:p>
            <w:r>
              <w:t>Pending — sales-side audit endpoint in flight</w:t>
            </w:r>
          </w:p>
        </w:tc>
      </w:tr>
    </w:tbl>
    <w:p/>
    <w:p>
      <w:r>
        <w:br w:type="page"/>
      </w:r>
    </w:p>
    <w:p>
      <w:pPr>
        <w:pStyle w:val="Heading1"/>
      </w:pPr>
      <w:r>
        <w:rPr>
          <w:color w:val="1F3A5F"/>
        </w:rPr>
        <w:t>Procedure 1 — Sign in and navigate to Sales</w:t>
      </w:r>
    </w:p>
    <w:p>
      <w:r>
        <w:rPr>
          <w:b/>
          <w:color w:val="1F3A5F"/>
          <w:sz w:val="22"/>
        </w:rPr>
        <w:t xml:space="preserve">Step 1.  </w:t>
      </w:r>
      <w:r>
        <w:rPr>
          <w:b/>
          <w:sz w:val="22"/>
        </w:rPr>
        <w:t>Open the user portal</w:t>
      </w:r>
    </w:p>
    <w:p>
      <w:pPr>
        <w:ind w:left="576"/>
      </w:pPr>
      <w:r>
        <w:t>Navigate to the platform URL provided by your administrator.</w:t>
      </w:r>
    </w:p>
    <w:p>
      <w:r>
        <w:rPr>
          <w:b/>
          <w:color w:val="1F3A5F"/>
          <w:sz w:val="22"/>
        </w:rPr>
        <w:t xml:space="preserve">Step 2.  </w:t>
      </w:r>
      <w:r>
        <w:rPr>
          <w:b/>
          <w:sz w:val="22"/>
        </w:rPr>
        <w:t>Sign in</w:t>
      </w:r>
    </w:p>
    <w:p>
      <w:pPr>
        <w:ind w:left="576"/>
      </w:pPr>
      <w:r>
        <w:t>Use your email address and password. If multi-factor authentication is configured, complete the second factor.</w:t>
      </w:r>
    </w:p>
    <w:p>
      <w:r>
        <w:rPr>
          <w:b/>
          <w:color w:val="1F3A5F"/>
          <w:sz w:val="22"/>
        </w:rPr>
        <w:t xml:space="preserve">Step 3.  </w:t>
      </w:r>
      <w:r>
        <w:rPr>
          <w:b/>
          <w:sz w:val="22"/>
        </w:rPr>
        <w:t>Locate the Sales (Wave 3) sidebar group</w:t>
      </w:r>
    </w:p>
    <w:p>
      <w:pPr>
        <w:ind w:left="576"/>
      </w:pPr>
      <w:r>
        <w:t>In the left sidebar look for the Sales (Wave 3) accordion. Click it to expand. You will see entries for AR Invoices, Customer Receipts, AR Aging, Quotes, Sales Orders, Deliveries (pending), Return Requests (pending), Returns (pending), and AR Credit Notes (pending).</w:t>
      </w:r>
    </w:p>
    <w:p>
      <w:pPr>
        <w:ind w:left="576"/>
      </w:pPr>
      <w:r>
        <w:rPr>
          <w:b/>
          <w:color w:val="1F3A5F"/>
        </w:rPr>
        <w:t xml:space="preserve">[Note] </w:t>
      </w:r>
      <w:r>
        <w:rPr>
          <w:i/>
          <w:sz w:val="20"/>
        </w:rPr>
        <w:t>The legacy Sales sidebar entries continue to exist alongside the new ones during the transition. They will be retired in a final cleanup task.</w:t>
      </w:r>
    </w:p>
    <w:p>
      <w:pPr>
        <w:pStyle w:val="Heading1"/>
      </w:pPr>
      <w:r>
        <w:rPr>
          <w:color w:val="1F3A5F"/>
        </w:rPr>
        <w:t>Procedure 2 — Create a Sales Quote</w:t>
      </w:r>
    </w:p>
    <w:p>
      <w:r>
        <w:rPr>
          <w:b w:val="0"/>
          <w:i w:val="0"/>
          <w:sz w:val="22"/>
        </w:rPr>
        <w:t>A Sales Quote is a commitment-only document — it has no GL impact. Use it to record a price offer to a customer with a validity window. Quotes can be converted to Sales Orders once accepted.</w:t>
      </w:r>
    </w:p>
    <w:p>
      <w:r>
        <w:rPr>
          <w:b/>
          <w:color w:val="1F3A5F"/>
          <w:sz w:val="22"/>
        </w:rPr>
        <w:t xml:space="preserve">Step 1.  </w:t>
      </w:r>
      <w:r>
        <w:rPr>
          <w:b/>
          <w:sz w:val="22"/>
        </w:rPr>
        <w:t>Navigate</w:t>
      </w:r>
    </w:p>
    <w:p>
      <w:pPr>
        <w:ind w:left="576"/>
      </w:pPr>
      <w:r>
        <w:t>Sales (Wave 3) → Quotes</w:t>
      </w:r>
    </w:p>
    <w:p>
      <w:r>
        <w:rPr>
          <w:b/>
          <w:color w:val="1F3A5F"/>
          <w:sz w:val="22"/>
        </w:rPr>
        <w:t xml:space="preserve">Step 2.  </w:t>
      </w:r>
      <w:r>
        <w:rPr>
          <w:b/>
          <w:sz w:val="22"/>
        </w:rPr>
        <w:t>Open the create form</w:t>
      </w:r>
    </w:p>
    <w:p>
      <w:pPr>
        <w:ind w:left="576"/>
      </w:pPr>
      <w:r>
        <w:t>Click the "+ New Quote" button.</w:t>
      </w:r>
    </w:p>
    <w:p>
      <w:r>
        <w:rPr>
          <w:b/>
          <w:color w:val="1F3A5F"/>
          <w:sz w:val="22"/>
        </w:rPr>
        <w:t xml:space="preserve">Step 3.  </w:t>
      </w:r>
      <w:r>
        <w:rPr>
          <w:b/>
          <w:sz w:val="22"/>
        </w:rPr>
        <w:t>Fill the header</w:t>
      </w:r>
    </w:p>
    <w:p>
      <w:pPr>
        <w:ind w:left="576"/>
      </w:pPr>
      <w:r>
        <w:t>Customer (type to search and pick), Quote Date (today by default), Valid Until date, BP Ref No (the customer's purchase order or quote number, optional), Currency.</w:t>
      </w:r>
    </w:p>
    <w:p>
      <w:r>
        <w:rPr>
          <w:b/>
          <w:color w:val="1F3A5F"/>
          <w:sz w:val="22"/>
        </w:rPr>
        <w:t xml:space="preserve">Step 4.  </w:t>
      </w:r>
      <w:r>
        <w:rPr>
          <w:b/>
          <w:sz w:val="22"/>
        </w:rPr>
        <w:t>Add at least one line</w:t>
      </w:r>
    </w:p>
    <w:p>
      <w:pPr>
        <w:ind w:left="576"/>
      </w:pPr>
      <w:r>
        <w:t>For each line: Item Code, Item Name, Description (optional), Quantity, UoM, Unit Price, Discount % (optional), Tax Code, Warehouse, Cost Centre. Add more lines via the "+ Add Line" button.</w:t>
      </w:r>
    </w:p>
    <w:p>
      <w:r>
        <w:rPr>
          <w:b/>
          <w:color w:val="1F3A5F"/>
          <w:sz w:val="22"/>
        </w:rPr>
        <w:t xml:space="preserve">Step 5.  </w:t>
      </w:r>
      <w:r>
        <w:rPr>
          <w:b/>
          <w:sz w:val="22"/>
        </w:rPr>
        <w:t>Verify totals</w:t>
      </w:r>
    </w:p>
    <w:p>
      <w:pPr>
        <w:ind w:left="576"/>
      </w:pPr>
      <w:r>
        <w:t>The Net, Tax, and Gross totals recompute as you type. Confirm the figures match your offer letter.</w:t>
      </w:r>
    </w:p>
    <w:p>
      <w:r>
        <w:rPr>
          <w:b/>
          <w:color w:val="1F3A5F"/>
          <w:sz w:val="22"/>
        </w:rPr>
        <w:t xml:space="preserve">Step 6.  </w:t>
      </w:r>
      <w:r>
        <w:rPr>
          <w:b/>
          <w:sz w:val="22"/>
        </w:rPr>
        <w:t>Submit</w:t>
      </w:r>
    </w:p>
    <w:p>
      <w:pPr>
        <w:ind w:left="576"/>
      </w:pPr>
      <w:r>
        <w:t>Click "Create Quote". You land on the Quote detail page in DRAFT status. The doc number (e.g. SQ-2026-0001) is generated automatically.</w:t>
      </w:r>
    </w:p>
    <w:p>
      <w:r>
        <w:rPr>
          <w:b/>
          <w:color w:val="1F3A5F"/>
          <w:sz w:val="22"/>
        </w:rPr>
        <w:t xml:space="preserve">Step 7.  </w:t>
      </w:r>
      <w:r>
        <w:rPr>
          <w:b/>
          <w:sz w:val="22"/>
        </w:rPr>
        <w:t>Post the Quote</w:t>
      </w:r>
    </w:p>
    <w:p>
      <w:pPr>
        <w:ind w:left="576"/>
      </w:pPr>
      <w:r>
        <w:t>On the detail page click "Post" to transition DRAFT → OPEN. The quote is now sent to the customer.</w:t>
      </w:r>
    </w:p>
    <w:tbl>
      <w:tblPr>
        <w:tblW w:type="auto" w:w="0"/>
        <w:tblLook w:firstColumn="1" w:firstRow="1" w:lastColumn="0" w:lastRow="0" w:noHBand="0" w:noVBand="1" w:val="04A0"/>
      </w:tblPr>
      <w:tblGrid>
        <w:gridCol w:w="9360"/>
      </w:tblGrid>
      <w:tr>
        <w:tc>
          <w:tcPr>
            <w:tcW w:type="dxa" w:w="9360"/>
            <w:shd w:val="clear" w:color="auto" w:fill="FFF2CC"/>
          </w:tcPr>
          <w:p>
            <w:r/>
            <w:r>
              <w:rPr>
                <w:b/>
                <w:sz w:val="20"/>
              </w:rPr>
              <w:t xml:space="preserve">Tip: </w:t>
            </w:r>
            <w:r>
              <w:rPr>
                <w:sz w:val="20"/>
              </w:rPr>
              <w:t>Drafts are editable; posted (Open) quotes are not. If you need to amend an Open quote, cancel it and create a new one. Cancelled quotes remain visible in the audit trail.</w:t>
            </w:r>
          </w:p>
        </w:tc>
      </w:tr>
    </w:tbl>
    <w:p/>
    <w:p>
      <w:r>
        <w:br w:type="page"/>
      </w:r>
    </w:p>
    <w:p>
      <w:pPr>
        <w:pStyle w:val="Heading1"/>
      </w:pPr>
      <w:r>
        <w:rPr>
          <w:color w:val="1F3A5F"/>
        </w:rPr>
        <w:t>Procedure 3 — Convert a Quote to a Sales Order</w:t>
      </w:r>
    </w:p>
    <w:p>
      <w:r>
        <w:rPr>
          <w:b w:val="0"/>
          <w:i w:val="0"/>
          <w:sz w:val="22"/>
        </w:rPr>
        <w:t>Once the customer accepts a Quote, convert it to a Sales Order. The system copies the header and line items into a new SO, sets the SO's baseDocRef to point back at the Quote, and (when fully consumed) closes the Quote automatically.</w:t>
      </w:r>
    </w:p>
    <w:p>
      <w:r>
        <w:rPr>
          <w:b/>
          <w:color w:val="1F3A5F"/>
          <w:sz w:val="22"/>
        </w:rPr>
        <w:t xml:space="preserve">Step 1.  </w:t>
      </w:r>
      <w:r>
        <w:rPr>
          <w:b/>
          <w:sz w:val="22"/>
        </w:rPr>
        <w:t>Open the source Quote</w:t>
      </w:r>
    </w:p>
    <w:p>
      <w:pPr>
        <w:ind w:left="576"/>
      </w:pPr>
      <w:r>
        <w:t>Sales (Wave 3) → Quotes → click the row of the quote you want to convert. The Quote must be in OPEN status.</w:t>
      </w:r>
    </w:p>
    <w:p>
      <w:r>
        <w:rPr>
          <w:b/>
          <w:color w:val="1F3A5F"/>
          <w:sz w:val="22"/>
        </w:rPr>
        <w:t xml:space="preserve">Step 2.  </w:t>
      </w:r>
      <w:r>
        <w:rPr>
          <w:b/>
          <w:sz w:val="22"/>
        </w:rPr>
        <w:t>Click "Convert to Sales Order"</w:t>
      </w:r>
    </w:p>
    <w:p>
      <w:pPr>
        <w:ind w:left="576"/>
      </w:pPr>
      <w:r>
        <w:t>The button is in the action bar at the top right of the detail page.</w:t>
      </w:r>
    </w:p>
    <w:p>
      <w:r>
        <w:rPr>
          <w:b/>
          <w:color w:val="1F3A5F"/>
          <w:sz w:val="22"/>
        </w:rPr>
        <w:t xml:space="preserve">Step 3.  </w:t>
      </w:r>
      <w:r>
        <w:rPr>
          <w:b/>
          <w:sz w:val="22"/>
        </w:rPr>
        <w:t>Review the pre-filled SO form</w:t>
      </w:r>
    </w:p>
    <w:p>
      <w:pPr>
        <w:ind w:left="576"/>
      </w:pPr>
      <w:r>
        <w:t>The customer is locked to the source Quote's customer. Lines are copied with the Quote's quantities and prices. You can adjust quantities downward (partial fulfilment) but not upward — the SO cannot ship more than the Quote committed.</w:t>
      </w:r>
    </w:p>
    <w:p>
      <w:r>
        <w:rPr>
          <w:b/>
          <w:color w:val="1F3A5F"/>
          <w:sz w:val="22"/>
        </w:rPr>
        <w:t xml:space="preserve">Step 4.  </w:t>
      </w:r>
      <w:r>
        <w:rPr>
          <w:b/>
          <w:sz w:val="22"/>
        </w:rPr>
        <w:t>Set the Delivery Date</w:t>
      </w:r>
    </w:p>
    <w:p>
      <w:pPr>
        <w:ind w:left="576"/>
      </w:pPr>
      <w:r>
        <w:t>This is the date you commit to fulfilling the order by. It is required on every SO and drives the eventual Delivery Note's dating.</w:t>
      </w:r>
    </w:p>
    <w:p>
      <w:r>
        <w:rPr>
          <w:b/>
          <w:color w:val="1F3A5F"/>
          <w:sz w:val="22"/>
        </w:rPr>
        <w:t xml:space="preserve">Step 5.  </w:t>
      </w:r>
      <w:r>
        <w:rPr>
          <w:b/>
          <w:sz w:val="22"/>
        </w:rPr>
        <w:t>Set per-line Warehouse</w:t>
      </w:r>
    </w:p>
    <w:p>
      <w:pPr>
        <w:ind w:left="576"/>
      </w:pPr>
      <w:r>
        <w:t>The warehouse the inventory will be drawn from when the Delivery is posted.</w:t>
      </w:r>
    </w:p>
    <w:p>
      <w:r>
        <w:rPr>
          <w:b/>
          <w:color w:val="1F3A5F"/>
          <w:sz w:val="22"/>
        </w:rPr>
        <w:t xml:space="preserve">Step 6.  </w:t>
      </w:r>
      <w:r>
        <w:rPr>
          <w:b/>
          <w:sz w:val="22"/>
        </w:rPr>
        <w:t>Submit</w:t>
      </w:r>
    </w:p>
    <w:p>
      <w:pPr>
        <w:ind w:left="576"/>
      </w:pPr>
      <w:r>
        <w:t>Click "Create Sales Order". A new SO is created in DRAFT status with its doc number (e.g. SO-2026-0001). The doc-chain card on the detail page links back to the source Quote.</w:t>
      </w:r>
    </w:p>
    <w:p>
      <w:r>
        <w:rPr>
          <w:b/>
          <w:color w:val="1F3A5F"/>
          <w:sz w:val="22"/>
        </w:rPr>
        <w:t xml:space="preserve">Step 7.  </w:t>
      </w:r>
      <w:r>
        <w:rPr>
          <w:b/>
          <w:sz w:val="22"/>
        </w:rPr>
        <w:t>Post the SO</w:t>
      </w:r>
    </w:p>
    <w:p>
      <w:pPr>
        <w:ind w:left="576"/>
      </w:pPr>
      <w:r>
        <w:t>On the SO detail page click "Post" to transition DRAFT → OPEN. The SO is now a firm customer commitment.</w:t>
      </w:r>
    </w:p>
    <w:tbl>
      <w:tblPr>
        <w:tblW w:type="auto" w:w="0"/>
        <w:tblLook w:firstColumn="1" w:firstRow="1" w:lastColumn="0" w:lastRow="0" w:noHBand="0" w:noVBand="1" w:val="04A0"/>
      </w:tblPr>
      <w:tblGrid>
        <w:gridCol w:w="9360"/>
      </w:tblGrid>
      <w:tr>
        <w:tc>
          <w:tcPr>
            <w:tcW w:type="dxa" w:w="9360"/>
            <w:shd w:val="clear" w:color="auto" w:fill="FCE4D6"/>
          </w:tcPr>
          <w:p>
            <w:r/>
            <w:r>
              <w:rPr>
                <w:b/>
                <w:sz w:val="20"/>
              </w:rPr>
              <w:t xml:space="preserve">Credit limit check: </w:t>
            </w:r>
            <w:r>
              <w:rPr>
                <w:sz w:val="20"/>
              </w:rPr>
              <w:t>If your customer's outstanding AR plus this SO's gross amount would exceed their configured credit limit, the post action returns an error explaining by how much. Either reduce the SO or arrange a credit-limit override before retrying.</w:t>
            </w:r>
          </w:p>
        </w:tc>
      </w:tr>
    </w:tbl>
    <w:p/>
    <w:p>
      <w:pPr>
        <w:pStyle w:val="Heading1"/>
      </w:pPr>
      <w:r>
        <w:rPr>
          <w:color w:val="1F3A5F"/>
        </w:rPr>
        <w:t>Procedure 4 — Reading Sales Order fulfilment progress</w:t>
      </w:r>
    </w:p>
    <w:p>
      <w:r>
        <w:rPr>
          <w:b w:val="0"/>
          <w:i w:val="0"/>
          <w:sz w:val="22"/>
        </w:rPr>
        <w:t>Each SO line tracks four quantity columns visible on the SO detail page:</w:t>
      </w:r>
    </w:p>
    <w:tbl>
      <w:tblPr>
        <w:tblStyle w:val="LightGrid-Accent1"/>
        <w:tblW w:type="auto" w:w="0"/>
        <w:tblLook w:firstColumn="1" w:firstRow="1" w:lastColumn="0" w:lastRow="0" w:noHBand="0" w:noVBand="1" w:val="04A0"/>
      </w:tblPr>
      <w:tblGrid>
        <w:gridCol w:w="4680"/>
        <w:gridCol w:w="4680"/>
      </w:tblGrid>
      <w:tr>
        <w:tc>
          <w:tcPr>
            <w:tcW w:type="dxa" w:w="4680"/>
            <w:shd w:val="clear" w:color="auto" w:fill="1F3A5F"/>
          </w:tcPr>
          <w:p>
            <w:r>
              <w:rPr>
                <w:b/>
                <w:color w:val="FFFFFF"/>
              </w:rPr>
              <w:t>Column</w:t>
            </w:r>
          </w:p>
        </w:tc>
        <w:tc>
          <w:tcPr>
            <w:tcW w:type="dxa" w:w="4680"/>
            <w:shd w:val="clear" w:color="auto" w:fill="1F3A5F"/>
          </w:tcPr>
          <w:p>
            <w:r>
              <w:rPr>
                <w:b/>
                <w:color w:val="FFFFFF"/>
              </w:rPr>
              <w:t>Meaning</w:t>
            </w:r>
          </w:p>
        </w:tc>
      </w:tr>
      <w:tr>
        <w:tc>
          <w:tcPr>
            <w:tcW w:type="dxa" w:w="4680"/>
          </w:tcPr>
          <w:p>
            <w:r>
              <w:t>orderedQty</w:t>
            </w:r>
          </w:p>
        </w:tc>
        <w:tc>
          <w:tcPr>
            <w:tcW w:type="dxa" w:w="4680"/>
          </w:tcPr>
          <w:p>
            <w:r>
              <w:t>What you committed to ship (= line quantity at create time)</w:t>
            </w:r>
          </w:p>
        </w:tc>
      </w:tr>
      <w:tr>
        <w:tc>
          <w:tcPr>
            <w:tcW w:type="dxa" w:w="4680"/>
          </w:tcPr>
          <w:p>
            <w:r>
              <w:t>deliveredQty</w:t>
            </w:r>
          </w:p>
        </w:tc>
        <w:tc>
          <w:tcPr>
            <w:tcW w:type="dxa" w:w="4680"/>
          </w:tcPr>
          <w:p>
            <w:r>
              <w:t>What has shipped on Delivery Notes drawn from this line</w:t>
            </w:r>
          </w:p>
        </w:tc>
      </w:tr>
      <w:tr>
        <w:tc>
          <w:tcPr>
            <w:tcW w:type="dxa" w:w="4680"/>
          </w:tcPr>
          <w:p>
            <w:r>
              <w:t>cancelledQty</w:t>
            </w:r>
          </w:p>
        </w:tc>
        <w:tc>
          <w:tcPr>
            <w:tcW w:type="dxa" w:w="4680"/>
          </w:tcPr>
          <w:p>
            <w:r>
              <w:t>What has been cancelled (manual line-level cancellation)</w:t>
            </w:r>
          </w:p>
        </w:tc>
      </w:tr>
      <w:tr>
        <w:tc>
          <w:tcPr>
            <w:tcW w:type="dxa" w:w="4680"/>
          </w:tcPr>
          <w:p>
            <w:r>
              <w:t>openQty</w:t>
            </w:r>
          </w:p>
        </w:tc>
        <w:tc>
          <w:tcPr>
            <w:tcW w:type="dxa" w:w="4680"/>
          </w:tcPr>
          <w:p>
            <w:r>
              <w:t>orderedQty − deliveredQty − cancelledQty (= what is still outstanding)</w:t>
            </w:r>
          </w:p>
        </w:tc>
      </w:tr>
    </w:tbl>
    <w:p/>
    <w:p>
      <w:r>
        <w:rPr>
          <w:b w:val="0"/>
          <w:i w:val="0"/>
          <w:sz w:val="22"/>
        </w:rPr>
        <w:t>A small progress bar visualises deliveredQty / orderedQty. When all lines reach openQty = 0, the SO automatically transitions to CLOSED. If any quantity is shipped but some still open, the SO is PARTLY CLOSED.</w:t>
      </w:r>
    </w:p>
    <w:p>
      <w:r>
        <w:br w:type="page"/>
      </w:r>
    </w:p>
    <w:p>
      <w:pPr>
        <w:pStyle w:val="Heading1"/>
      </w:pPr>
      <w:r>
        <w:rPr>
          <w:color w:val="1F3A5F"/>
        </w:rPr>
        <w:t>Procedure 5 — Issue an AR Invoice</w:t>
      </w:r>
    </w:p>
    <w:p>
      <w:r>
        <w:rPr>
          <w:b w:val="0"/>
          <w:i w:val="0"/>
          <w:sz w:val="22"/>
        </w:rPr>
        <w:t>The AR Invoice is the revenue-recognition document. Posting an AR Invoice fires the Dr AR / Cr Revenue / Cr Output VAT journal entry. In the canonical flow, an AR Invoice is created from a posted Delivery Note. In the current testing build the from-Delivery UI flow works through the AR Invoice page directly.</w:t>
      </w:r>
    </w:p>
    <w:p>
      <w:r>
        <w:rPr>
          <w:b/>
          <w:color w:val="1F3A5F"/>
          <w:sz w:val="22"/>
        </w:rPr>
        <w:t xml:space="preserve">Step 1.  </w:t>
      </w:r>
      <w:r>
        <w:rPr>
          <w:b/>
          <w:sz w:val="22"/>
        </w:rPr>
        <w:t>Navigate</w:t>
      </w:r>
    </w:p>
    <w:p>
      <w:pPr>
        <w:ind w:left="576"/>
      </w:pPr>
      <w:r>
        <w:t>Sales (Wave 3) → AR Invoices</w:t>
      </w:r>
    </w:p>
    <w:p>
      <w:r>
        <w:rPr>
          <w:b/>
          <w:color w:val="1F3A5F"/>
          <w:sz w:val="22"/>
        </w:rPr>
        <w:t xml:space="preserve">Step 2.  </w:t>
      </w:r>
      <w:r>
        <w:rPr>
          <w:b/>
          <w:sz w:val="22"/>
        </w:rPr>
        <w:t>Open the create form</w:t>
      </w:r>
    </w:p>
    <w:p>
      <w:pPr>
        <w:ind w:left="576"/>
      </w:pPr>
      <w:r>
        <w:t>Click "+ New AR Invoice".</w:t>
      </w:r>
    </w:p>
    <w:p>
      <w:r>
        <w:rPr>
          <w:b/>
          <w:color w:val="1F3A5F"/>
          <w:sz w:val="22"/>
        </w:rPr>
        <w:t xml:space="preserve">Step 3.  </w:t>
      </w:r>
      <w:r>
        <w:rPr>
          <w:b/>
          <w:sz w:val="22"/>
        </w:rPr>
        <w:t>Pick the source Delivery (when using the from-Delivery flow)</w:t>
      </w:r>
    </w:p>
    <w:p>
      <w:pPr>
        <w:ind w:left="576"/>
      </w:pPr>
      <w:r>
        <w:t>If a Delivery exists, navigate to it (or use the URL pattern /sales/ar-invoices/from-delivery/&lt;deliveryDocId&gt;) and the form pre-fills with customer + lines.</w:t>
      </w:r>
    </w:p>
    <w:p>
      <w:r>
        <w:rPr>
          <w:b/>
          <w:color w:val="1F3A5F"/>
          <w:sz w:val="22"/>
        </w:rPr>
        <w:t xml:space="preserve">Step 4.  </w:t>
      </w:r>
      <w:r>
        <w:rPr>
          <w:b/>
          <w:sz w:val="22"/>
        </w:rPr>
        <w:t>Fill the header</w:t>
      </w:r>
    </w:p>
    <w:p>
      <w:pPr>
        <w:ind w:left="576"/>
      </w:pPr>
      <w:r>
        <w:t>Doc Date, Date of Supply, Invoice Date (often = Doc Date), Tax Date (governs tax-point period), Due Date (default = Doc Date + payment terms), Currency, Payment Terms.</w:t>
      </w:r>
    </w:p>
    <w:p>
      <w:r>
        <w:rPr>
          <w:b/>
          <w:color w:val="1F3A5F"/>
          <w:sz w:val="22"/>
        </w:rPr>
        <w:t xml:space="preserve">Step 5.  </w:t>
      </w:r>
      <w:r>
        <w:rPr>
          <w:b/>
          <w:sz w:val="22"/>
        </w:rPr>
        <w:t>Confirm lines</w:t>
      </w:r>
    </w:p>
    <w:p>
      <w:pPr>
        <w:ind w:left="576"/>
      </w:pPr>
      <w:r>
        <w:t>Lines are copied from the Delivery. The AR Invoice uses these line amounts to compute Revenue + Output VAT. Verify the tax codes and totals.</w:t>
      </w:r>
    </w:p>
    <w:p>
      <w:r>
        <w:rPr>
          <w:b/>
          <w:color w:val="1F3A5F"/>
          <w:sz w:val="22"/>
        </w:rPr>
        <w:t xml:space="preserve">Step 6.  </w:t>
      </w:r>
      <w:r>
        <w:rPr>
          <w:b/>
          <w:sz w:val="22"/>
        </w:rPr>
        <w:t>Submit</w:t>
      </w:r>
    </w:p>
    <w:p>
      <w:pPr>
        <w:ind w:left="576"/>
      </w:pPr>
      <w:r>
        <w:t>Click "Create AR Invoice". You land on the AR Invoice detail page in DRAFT status with its doc number (e.g. ARI-2026-0001).</w:t>
      </w:r>
    </w:p>
    <w:p>
      <w:r>
        <w:rPr>
          <w:b/>
          <w:color w:val="1F3A5F"/>
          <w:sz w:val="22"/>
        </w:rPr>
        <w:t xml:space="preserve">Step 7.  </w:t>
      </w:r>
      <w:r>
        <w:rPr>
          <w:b/>
          <w:sz w:val="22"/>
        </w:rPr>
        <w:t>Post the AR Invoice</w:t>
      </w:r>
    </w:p>
    <w:p>
      <w:pPr>
        <w:ind w:left="576"/>
      </w:pPr>
      <w:r>
        <w:t>Click "Post" to transition DRAFT → OPEN. This is the event that fires the GL posting:</w:t>
      </w:r>
    </w:p>
    <w:tbl>
      <w:tblPr>
        <w:tblStyle w:val="LightGrid-Accent1"/>
        <w:tblW w:type="auto" w:w="0"/>
        <w:tblLook w:firstColumn="1" w:firstRow="1" w:lastColumn="0" w:lastRow="0" w:noHBand="0" w:noVBand="1" w:val="04A0"/>
      </w:tblPr>
      <w:tblGrid>
        <w:gridCol w:w="3120"/>
        <w:gridCol w:w="3120"/>
        <w:gridCol w:w="3120"/>
      </w:tblGrid>
      <w:tr>
        <w:tc>
          <w:tcPr>
            <w:tcW w:type="dxa" w:w="3120"/>
            <w:shd w:val="clear" w:color="auto" w:fill="1F3A5F"/>
          </w:tcPr>
          <w:p>
            <w:r>
              <w:rPr>
                <w:b/>
                <w:color w:val="FFFFFF"/>
              </w:rPr>
              <w:t>Side</w:t>
            </w:r>
          </w:p>
        </w:tc>
        <w:tc>
          <w:tcPr>
            <w:tcW w:type="dxa" w:w="3120"/>
            <w:shd w:val="clear" w:color="auto" w:fill="1F3A5F"/>
          </w:tcPr>
          <w:p>
            <w:r>
              <w:rPr>
                <w:b/>
                <w:color w:val="FFFFFF"/>
              </w:rPr>
              <w:t>Account</w:t>
            </w:r>
          </w:p>
        </w:tc>
        <w:tc>
          <w:tcPr>
            <w:tcW w:type="dxa" w:w="3120"/>
            <w:shd w:val="clear" w:color="auto" w:fill="1F3A5F"/>
          </w:tcPr>
          <w:p>
            <w:r>
              <w:rPr>
                <w:b/>
                <w:color w:val="FFFFFF"/>
              </w:rPr>
              <w:t>Source</w:t>
            </w:r>
          </w:p>
        </w:tc>
      </w:tr>
      <w:tr>
        <w:tc>
          <w:tcPr>
            <w:tcW w:type="dxa" w:w="3120"/>
          </w:tcPr>
          <w:p>
            <w:r>
              <w:t>Dr</w:t>
            </w:r>
          </w:p>
        </w:tc>
        <w:tc>
          <w:tcPr>
            <w:tcW w:type="dxa" w:w="3120"/>
          </w:tcPr>
          <w:p>
            <w:r>
              <w:t>Trade Receivables</w:t>
            </w:r>
          </w:p>
        </w:tc>
        <w:tc>
          <w:tcPr>
            <w:tcW w:type="dxa" w:w="3120"/>
          </w:tcPr>
          <w:p>
            <w:r>
              <w:t>Customer's AR control account</w:t>
            </w:r>
          </w:p>
        </w:tc>
      </w:tr>
      <w:tr>
        <w:tc>
          <w:tcPr>
            <w:tcW w:type="dxa" w:w="3120"/>
          </w:tcPr>
          <w:p>
            <w:r>
              <w:t>Cr</w:t>
            </w:r>
          </w:p>
        </w:tc>
        <w:tc>
          <w:tcPr>
            <w:tcW w:type="dxa" w:w="3120"/>
          </w:tcPr>
          <w:p>
            <w:r>
              <w:t>Revenue</w:t>
            </w:r>
          </w:p>
        </w:tc>
        <w:tc>
          <w:tcPr>
            <w:tcW w:type="dxa" w:w="3120"/>
          </w:tcPr>
          <w:p>
            <w:r>
              <w:t>Per-line revenueAccountId snapshotted from sale_item_finance_ext</w:t>
            </w:r>
          </w:p>
        </w:tc>
      </w:tr>
      <w:tr>
        <w:tc>
          <w:tcPr>
            <w:tcW w:type="dxa" w:w="3120"/>
          </w:tcPr>
          <w:p>
            <w:r>
              <w:t>Cr</w:t>
            </w:r>
          </w:p>
        </w:tc>
        <w:tc>
          <w:tcPr>
            <w:tcW w:type="dxa" w:w="3120"/>
          </w:tcPr>
          <w:p>
            <w:r>
              <w:t>Output VAT</w:t>
            </w:r>
          </w:p>
        </w:tc>
        <w:tc>
          <w:tcPr>
            <w:tcW w:type="dxa" w:w="3120"/>
          </w:tcPr>
          <w:p>
            <w:r>
              <w:t>Per company posting setup (combined across lines)</w:t>
            </w:r>
          </w:p>
        </w:tc>
      </w:tr>
    </w:tbl>
    <w:p/>
    <w:tbl>
      <w:tblPr>
        <w:tblW w:type="auto" w:w="0"/>
        <w:tblLook w:firstColumn="1" w:firstRow="1" w:lastColumn="0" w:lastRow="0" w:noHBand="0" w:noVBand="1" w:val="04A0"/>
      </w:tblPr>
      <w:tblGrid>
        <w:gridCol w:w="9360"/>
      </w:tblGrid>
      <w:tr>
        <w:tc>
          <w:tcPr>
            <w:tcW w:type="dxa" w:w="9360"/>
            <w:shd w:val="clear" w:color="auto" w:fill="DDEBF7"/>
          </w:tcPr>
          <w:p>
            <w:r/>
            <w:r>
              <w:rPr>
                <w:b/>
                <w:sz w:val="20"/>
              </w:rPr>
              <w:t xml:space="preserve">What the doc-chain card shows: </w:t>
            </w:r>
            <w:r>
              <w:rPr>
                <w:sz w:val="20"/>
              </w:rPr>
              <w:t>On the AR Invoice detail page the Doc Chain card shows the Base Delivery (DN-YYYY-NNNN) above the invoice, and any Customer Receipts or AR Credit Notes that have been applied against this invoice below it. Click any link to navigate to that document.</w:t>
            </w:r>
          </w:p>
        </w:tc>
      </w:tr>
    </w:tbl>
    <w:p/>
    <w:p>
      <w:pPr>
        <w:pStyle w:val="Heading1"/>
      </w:pPr>
      <w:r>
        <w:rPr>
          <w:color w:val="1F3A5F"/>
        </w:rPr>
        <w:t>Procedure 6 — Receive a customer payment</w:t>
      </w:r>
    </w:p>
    <w:p>
      <w:r>
        <w:rPr>
          <w:b w:val="0"/>
          <w:i w:val="0"/>
          <w:sz w:val="22"/>
        </w:rPr>
        <w:t>When the customer pays, record the receipt and allocate the amount against one or more open AR Invoices. The system posts Dr Bank / Cr AR and updates each AR Invoice's paidAmount and openAmount.</w:t>
      </w:r>
    </w:p>
    <w:p>
      <w:r>
        <w:rPr>
          <w:b w:val="0"/>
          <w:i w:val="0"/>
          <w:sz w:val="22"/>
        </w:rPr>
      </w:r>
    </w:p>
    <w:p>
      <w:r>
        <w:rPr>
          <w:b/>
          <w:i w:val="0"/>
          <w:sz w:val="22"/>
        </w:rPr>
        <w:t>Two common entry points:</w:t>
      </w:r>
    </w:p>
    <w:p>
      <w:pPr>
        <w:pStyle w:val="ListBullet"/>
        <w:ind w:left="576"/>
      </w:pPr>
      <w:r>
        <w:t>From the AR Invoice detail page (recommended): click the "Receive Payment" button when the invoice is in OPEN status — the receipt form pre-fills with the invoice's open amount allocated.</w:t>
      </w:r>
    </w:p>
    <w:p>
      <w:pPr>
        <w:pStyle w:val="ListBullet"/>
        <w:ind w:left="576"/>
      </w:pPr>
      <w:r>
        <w:t>From the Customer Receipts list: click "+ New Customer Receipt" and pick the customer manually, then allocate.</w:t>
      </w:r>
    </w:p>
    <w:p>
      <w:r>
        <w:rPr>
          <w:b w:val="0"/>
          <w:i w:val="0"/>
          <w:sz w:val="22"/>
        </w:rPr>
      </w:r>
    </w:p>
    <w:p>
      <w:r>
        <w:rPr>
          <w:b/>
          <w:color w:val="1F3A5F"/>
          <w:sz w:val="22"/>
        </w:rPr>
        <w:t xml:space="preserve">Step 1.  </w:t>
      </w:r>
      <w:r>
        <w:rPr>
          <w:b/>
          <w:sz w:val="22"/>
        </w:rPr>
        <w:t>Open the create form</w:t>
      </w:r>
    </w:p>
    <w:p>
      <w:pPr>
        <w:ind w:left="576"/>
      </w:pPr>
      <w:r>
        <w:t>Either via the "Receive Payment" button on an AR Invoice, or via Sales (Wave 3) → Customer Receipts → "+ New Customer Receipt".</w:t>
      </w:r>
    </w:p>
    <w:p>
      <w:r>
        <w:rPr>
          <w:b/>
          <w:color w:val="1F3A5F"/>
          <w:sz w:val="22"/>
        </w:rPr>
        <w:t xml:space="preserve">Step 2.  </w:t>
      </w:r>
      <w:r>
        <w:rPr>
          <w:b/>
          <w:sz w:val="22"/>
        </w:rPr>
        <w:t>Confirm the header</w:t>
      </w:r>
    </w:p>
    <w:p>
      <w:pPr>
        <w:ind w:left="576"/>
      </w:pPr>
      <w:r>
        <w:t>Customer (locked when from-invoice; otherwise pick), Doc Date (the payment date), Bank Account (the asset account the funds are deposited into — pick from the dropdown), Currency, Payment Method (Bank Transfer / Cash / Cheque / Card), Reference No (the bank reference or cheque number).</w:t>
      </w:r>
    </w:p>
    <w:p>
      <w:r>
        <w:rPr>
          <w:b/>
          <w:color w:val="1F3A5F"/>
          <w:sz w:val="22"/>
        </w:rPr>
        <w:t xml:space="preserve">Step 3.  </w:t>
      </w:r>
      <w:r>
        <w:rPr>
          <w:b/>
          <w:sz w:val="22"/>
        </w:rPr>
        <w:t>Enter the total amount received</w:t>
      </w:r>
    </w:p>
    <w:p>
      <w:pPr>
        <w:ind w:left="576"/>
      </w:pPr>
      <w:r>
        <w:t>This is the cash amount the customer actually paid. The currency must match the invoices' currency for now.</w:t>
      </w:r>
    </w:p>
    <w:p>
      <w:r>
        <w:rPr>
          <w:b/>
          <w:color w:val="1F3A5F"/>
          <w:sz w:val="22"/>
        </w:rPr>
        <w:t xml:space="preserve">Step 4.  </w:t>
      </w:r>
      <w:r>
        <w:rPr>
          <w:b/>
          <w:sz w:val="22"/>
        </w:rPr>
        <w:t>Allocate against AR Invoices</w:t>
      </w:r>
    </w:p>
    <w:p>
      <w:pPr>
        <w:ind w:left="576"/>
      </w:pPr>
      <w:r>
        <w:t>In the Allocations table add one row per AR Invoice you are paying. For each row select the invoice's doc number — you can see the open balance. Enter the applied amount. The sum of applied amounts must equal the total received. An over-allocation or under-allocation is rejected at submit.</w:t>
      </w:r>
    </w:p>
    <w:p>
      <w:r>
        <w:rPr>
          <w:b/>
          <w:color w:val="1F3A5F"/>
          <w:sz w:val="22"/>
        </w:rPr>
        <w:t xml:space="preserve">Step 5.  </w:t>
      </w:r>
      <w:r>
        <w:rPr>
          <w:b/>
          <w:sz w:val="22"/>
        </w:rPr>
        <w:t>Submit</w:t>
      </w:r>
    </w:p>
    <w:p>
      <w:pPr>
        <w:ind w:left="576"/>
      </w:pPr>
      <w:r>
        <w:t>Click "Create Customer Receipt". You land on the Customer Receipt detail page in DRAFT status (e.g. IPAY-2026-0001).</w:t>
      </w:r>
    </w:p>
    <w:p>
      <w:r>
        <w:rPr>
          <w:b/>
          <w:color w:val="1F3A5F"/>
          <w:sz w:val="22"/>
        </w:rPr>
        <w:t xml:space="preserve">Step 6.  </w:t>
      </w:r>
      <w:r>
        <w:rPr>
          <w:b/>
          <w:sz w:val="22"/>
        </w:rPr>
        <w:t>Post the Receipt</w:t>
      </w:r>
    </w:p>
    <w:p>
      <w:pPr>
        <w:ind w:left="576"/>
      </w:pPr>
      <w:r>
        <w:t>Click "Post" to transition DRAFT → OPEN. The Dr Bank / Cr AR journal fires; each allocated AR Invoice's paidAmount and openAmount update; invoices that reach openAmount = 0 transition to CLOSED.</w:t>
      </w:r>
    </w:p>
    <w:tbl>
      <w:tblPr>
        <w:tblW w:type="auto" w:w="0"/>
        <w:tblLook w:firstColumn="1" w:firstRow="1" w:lastColumn="0" w:lastRow="0" w:noHBand="0" w:noVBand="1" w:val="04A0"/>
      </w:tblPr>
      <w:tblGrid>
        <w:gridCol w:w="9360"/>
      </w:tblGrid>
      <w:tr>
        <w:tc>
          <w:tcPr>
            <w:tcW w:type="dxa" w:w="9360"/>
            <w:shd w:val="clear" w:color="auto" w:fill="FFF2CC"/>
          </w:tcPr>
          <w:p>
            <w:r/>
            <w:r>
              <w:rPr>
                <w:b/>
                <w:sz w:val="20"/>
              </w:rPr>
              <w:t xml:space="preserve">Tip: </w:t>
            </w:r>
            <w:r>
              <w:rPr>
                <w:sz w:val="20"/>
              </w:rPr>
              <w:t>On the receipt detail page each allocation row is a clickable link to the source AR Invoice. This is the fastest way to trace cash back to its invoice and from there to the original sale.</w:t>
            </w:r>
          </w:p>
        </w:tc>
      </w:tr>
    </w:tbl>
    <w:p/>
    <w:p>
      <w:r>
        <w:br w:type="page"/>
      </w:r>
    </w:p>
    <w:p>
      <w:pPr>
        <w:pStyle w:val="Heading1"/>
      </w:pPr>
      <w:r>
        <w:rPr>
          <w:color w:val="1F3A5F"/>
        </w:rPr>
        <w:t>Procedure 7 — Read the AR Aging report</w:t>
      </w:r>
    </w:p>
    <w:p>
      <w:r>
        <w:rPr>
          <w:b w:val="0"/>
          <w:i w:val="0"/>
          <w:sz w:val="22"/>
        </w:rPr>
        <w:t>The AR Aging report shows every open or partly-paid AR Invoice bucketed by days overdue against an as-of date. It answers the question "who owes me money and how late are they?".</w:t>
      </w:r>
    </w:p>
    <w:p>
      <w:r>
        <w:rPr>
          <w:b/>
          <w:color w:val="1F3A5F"/>
          <w:sz w:val="22"/>
        </w:rPr>
        <w:t xml:space="preserve">Step 1.  </w:t>
      </w:r>
      <w:r>
        <w:rPr>
          <w:b/>
          <w:sz w:val="22"/>
        </w:rPr>
        <w:t>Navigate</w:t>
      </w:r>
    </w:p>
    <w:p>
      <w:pPr>
        <w:ind w:left="576"/>
      </w:pPr>
      <w:r>
        <w:t>Sales (Wave 3) → AR Aging</w:t>
      </w:r>
    </w:p>
    <w:p>
      <w:r>
        <w:rPr>
          <w:b/>
          <w:color w:val="1F3A5F"/>
          <w:sz w:val="22"/>
        </w:rPr>
        <w:t xml:space="preserve">Step 2.  </w:t>
      </w:r>
      <w:r>
        <w:rPr>
          <w:b/>
          <w:sz w:val="22"/>
        </w:rPr>
        <w:t>Set the As-of Date</w:t>
      </w:r>
    </w:p>
    <w:p>
      <w:pPr>
        <w:ind w:left="576"/>
      </w:pPr>
      <w:r>
        <w:t>Today by default. Change to back-date the report or run an end-of-month aging.</w:t>
      </w:r>
    </w:p>
    <w:p>
      <w:r>
        <w:rPr>
          <w:b/>
          <w:color w:val="1F3A5F"/>
          <w:sz w:val="22"/>
        </w:rPr>
        <w:t xml:space="preserve">Step 3.  </w:t>
      </w:r>
      <w:r>
        <w:rPr>
          <w:b/>
          <w:sz w:val="22"/>
        </w:rPr>
        <w:t>Apply filters (optional)</w:t>
      </w:r>
    </w:p>
    <w:p>
      <w:pPr>
        <w:ind w:left="576"/>
      </w:pPr>
      <w:r>
        <w:t>Customer (filter to a single account); Currency (default: all). Click Refresh.</w:t>
      </w:r>
    </w:p>
    <w:p>
      <w:r>
        <w:rPr>
          <w:b/>
          <w:color w:val="1F3A5F"/>
          <w:sz w:val="22"/>
        </w:rPr>
        <w:t xml:space="preserve">Step 4.  </w:t>
      </w:r>
      <w:r>
        <w:rPr>
          <w:b/>
          <w:sz w:val="22"/>
        </w:rPr>
        <w:t>Read the grand-totals cards</w:t>
      </w:r>
    </w:p>
    <w:p>
      <w:pPr>
        <w:ind w:left="576"/>
      </w:pPr>
      <w:r>
        <w:t>Five stat cards at the top show totals per bucket: Current (0 or not yet due), 1-30 days overdue, 31-60, 61-90, and 90+. The two right-most buckets are highlighted in warning colours.</w:t>
      </w:r>
    </w:p>
    <w:p>
      <w:r>
        <w:rPr>
          <w:b/>
          <w:color w:val="1F3A5F"/>
          <w:sz w:val="22"/>
        </w:rPr>
        <w:t xml:space="preserve">Step 5.  </w:t>
      </w:r>
      <w:r>
        <w:rPr>
          <w:b/>
          <w:sz w:val="22"/>
        </w:rPr>
        <w:t>Read the customers table</w:t>
      </w:r>
    </w:p>
    <w:p>
      <w:pPr>
        <w:ind w:left="576"/>
      </w:pPr>
      <w:r>
        <w:t>Each row is one customer + currency combination, with the same five bucket columns plus a Total and Invoices count. Click any column header to sort.</w:t>
      </w:r>
    </w:p>
    <w:p>
      <w:r>
        <w:rPr>
          <w:b/>
          <w:color w:val="1F3A5F"/>
          <w:sz w:val="22"/>
        </w:rPr>
        <w:t xml:space="preserve">Step 6.  </w:t>
      </w:r>
      <w:r>
        <w:rPr>
          <w:b/>
          <w:sz w:val="22"/>
        </w:rPr>
        <w:t>Drill into a customer</w:t>
      </w:r>
    </w:p>
    <w:p>
      <w:pPr>
        <w:ind w:left="576"/>
      </w:pPr>
      <w:r>
        <w:t>Click a customer row to navigate to the AR Invoices list filtered to that customer with status = Open. From there you can open each invoice and see line-by-line balances.</w:t>
      </w:r>
    </w:p>
    <w:p>
      <w:r>
        <w:rPr>
          <w:b/>
          <w:color w:val="1F3A5F"/>
          <w:sz w:val="22"/>
        </w:rPr>
        <w:t xml:space="preserve">Step 7.  </w:t>
      </w:r>
      <w:r>
        <w:rPr>
          <w:b/>
          <w:sz w:val="22"/>
        </w:rPr>
        <w:t>Export to CSV</w:t>
      </w:r>
    </w:p>
    <w:p>
      <w:pPr>
        <w:ind w:left="576"/>
      </w:pPr>
      <w:r>
        <w:t>Click "Export CSV" in the top right. A file named ar_aging_YYYY-MM-DD.csv downloads with one row per customer.</w:t>
      </w:r>
    </w:p>
    <w:tbl>
      <w:tblPr>
        <w:tblW w:type="auto" w:w="0"/>
        <w:tblLook w:firstColumn="1" w:firstRow="1" w:lastColumn="0" w:lastRow="0" w:noHBand="0" w:noVBand="1" w:val="04A0"/>
      </w:tblPr>
      <w:tblGrid>
        <w:gridCol w:w="9360"/>
      </w:tblGrid>
      <w:tr>
        <w:tc>
          <w:tcPr>
            <w:tcW w:type="dxa" w:w="9360"/>
            <w:shd w:val="clear" w:color="auto" w:fill="DDEBF7"/>
          </w:tcPr>
          <w:p>
            <w:r/>
            <w:r>
              <w:rPr>
                <w:b/>
                <w:sz w:val="20"/>
              </w:rPr>
              <w:t xml:space="preserve">Bucket math: </w:t>
            </w:r>
            <w:r>
              <w:rPr>
                <w:sz w:val="20"/>
              </w:rPr>
              <w:t>Buckets are inclusive: 1-30 covers days 1 through 30; 31-60 covers days 31 through 60. An invoice due exactly 30 days before the as-of date sits in 1-30. One day later it moves to 31-60.</w:t>
            </w:r>
          </w:p>
        </w:tc>
      </w:tr>
    </w:tbl>
    <w:p/>
    <w:p>
      <w:pPr>
        <w:pStyle w:val="Heading1"/>
      </w:pPr>
      <w:r>
        <w:rPr>
          <w:color w:val="1F3A5F"/>
        </w:rPr>
        <w:t>Procedure 8 — Process a return (preview — UI pending)</w:t>
      </w:r>
    </w:p>
    <w:p>
      <w:r>
        <w:rPr>
          <w:b w:val="0"/>
          <w:i w:val="0"/>
          <w:sz w:val="22"/>
        </w:rPr>
        <w:t>The Returns flow has three stages, all of which exist in the backend today and will gain UIs in the next task series:</w:t>
      </w:r>
    </w:p>
    <w:p>
      <w:pPr>
        <w:pStyle w:val="ListBullet"/>
        <w:ind w:left="576"/>
      </w:pPr>
      <w:r>
        <w:t>Return Request (RR) — Customer authorisation (RMA). Commitment-only; no GL impact.</w:t>
      </w:r>
    </w:p>
    <w:p>
      <w:pPr>
        <w:pStyle w:val="ListBullet"/>
        <w:ind w:left="576"/>
      </w:pPr>
      <w:r>
        <w:t>Return Note (RTN) — Physical goods receipt back into inventory. Posts Dr Inventory / Cr COGS (reverse of Delivery).</w:t>
      </w:r>
    </w:p>
    <w:p>
      <w:pPr>
        <w:pStyle w:val="ListBullet"/>
        <w:ind w:left="576"/>
      </w:pPr>
      <w:r>
        <w:t>AR Credit Note (ARC) — Financial reversal. Posts Dr Revenue / Dr Output VAT / Cr AR (reverse of AR Invoice). Reduces the customer's outstanding balance.</w:t>
      </w:r>
    </w:p>
    <w:p>
      <w:r>
        <w:rPr>
          <w:b w:val="0"/>
          <w:i w:val="0"/>
          <w:sz w:val="22"/>
        </w:rPr>
      </w:r>
    </w:p>
    <w:p>
      <w:r>
        <w:rPr>
          <w:b w:val="0"/>
          <w:i w:val="0"/>
          <w:sz w:val="22"/>
        </w:rPr>
        <w:t>The expected UI flow once shipped will mirror the credit-sale chain: navigate from the AR Invoice detail page, click "Issue Credit Note" or "Receive Return", select the lines and quantities to credit, then post. The system will fire the appropriate reversal journals automatically.</w:t>
      </w:r>
    </w:p>
    <w:p>
      <w:pPr>
        <w:pStyle w:val="Heading1"/>
      </w:pPr>
      <w:r>
        <w:rPr>
          <w:color w:val="1F3A5F"/>
        </w:rPr>
        <w:t>Procedure 9 — Document status lifecycle</w:t>
      </w:r>
    </w:p>
    <w:p>
      <w:r>
        <w:rPr>
          <w:b w:val="0"/>
          <w:i w:val="0"/>
          <w:sz w:val="22"/>
        </w:rPr>
        <w:t>Every sales document follows the same lifecycle, drawing from the SAP B1 convention: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shd w:val="clear" w:color="auto" w:fill="1F3A5F"/>
          </w:tcPr>
          <w:p>
            <w:r>
              <w:rPr>
                <w:b/>
                <w:color w:val="FFFFFF"/>
              </w:rPr>
              <w:t>Status</w:t>
            </w:r>
          </w:p>
        </w:tc>
        <w:tc>
          <w:tcPr>
            <w:tcW w:type="dxa" w:w="2340"/>
            <w:shd w:val="clear" w:color="auto" w:fill="1F3A5F"/>
          </w:tcPr>
          <w:p>
            <w:r>
              <w:rPr>
                <w:b/>
                <w:color w:val="FFFFFF"/>
              </w:rPr>
              <w:t>Meaning</w:t>
            </w:r>
          </w:p>
        </w:tc>
        <w:tc>
          <w:tcPr>
            <w:tcW w:type="dxa" w:w="2340"/>
            <w:shd w:val="clear" w:color="auto" w:fill="1F3A5F"/>
          </w:tcPr>
          <w:p>
            <w:r>
              <w:rPr>
                <w:b/>
                <w:color w:val="FFFFFF"/>
              </w:rPr>
              <w:t>Editable?</w:t>
            </w:r>
          </w:p>
        </w:tc>
        <w:tc>
          <w:tcPr>
            <w:tcW w:type="dxa" w:w="2340"/>
            <w:shd w:val="clear" w:color="auto" w:fill="1F3A5F"/>
          </w:tcPr>
          <w:p>
            <w:r>
              <w:rPr>
                <w:b/>
                <w:color w:val="FFFFFF"/>
              </w:rPr>
              <w:t>GL fired?</w:t>
            </w:r>
          </w:p>
        </w:tc>
      </w:tr>
      <w:tr>
        <w:tc>
          <w:tcPr>
            <w:tcW w:type="dxa" w:w="2340"/>
          </w:tcPr>
          <w:p>
            <w:r>
              <w:t>Draft</w:t>
            </w:r>
          </w:p>
        </w:tc>
        <w:tc>
          <w:tcPr>
            <w:tcW w:type="dxa" w:w="2340"/>
          </w:tcPr>
          <w:p>
            <w:r>
              <w:t>Saved but not committed; visible to creator only</w:t>
            </w:r>
          </w:p>
        </w:tc>
        <w:tc>
          <w:tcPr>
            <w:tcW w:type="dxa" w:w="2340"/>
          </w:tcPr>
          <w:p>
            <w:r>
              <w:t>Yes (all fields)</w:t>
            </w:r>
          </w:p>
        </w:tc>
        <w:tc>
          <w:tcPr>
            <w:tcW w:type="dxa" w:w="2340"/>
          </w:tcPr>
          <w:p>
            <w:r>
              <w:t>No</w:t>
            </w:r>
          </w:p>
        </w:tc>
      </w:tr>
      <w:tr>
        <w:tc>
          <w:tcPr>
            <w:tcW w:type="dxa" w:w="2340"/>
          </w:tcPr>
          <w:p>
            <w:r>
              <w:t>Open</w:t>
            </w:r>
          </w:p>
        </w:tc>
        <w:tc>
          <w:tcPr>
            <w:tcW w:type="dxa" w:w="2340"/>
          </w:tcPr>
          <w:p>
            <w:r>
              <w:t>Posted and active; ready for downstream consumption</w:t>
            </w:r>
          </w:p>
        </w:tc>
        <w:tc>
          <w:tcPr>
            <w:tcW w:type="dxa" w:w="2340"/>
          </w:tcPr>
          <w:p>
            <w:r>
              <w:t>No</w:t>
            </w:r>
          </w:p>
        </w:tc>
        <w:tc>
          <w:tcPr>
            <w:tcW w:type="dxa" w:w="2340"/>
          </w:tcPr>
          <w:p>
            <w:r>
              <w:t>Yes (if applicable)</w:t>
            </w:r>
          </w:p>
        </w:tc>
      </w:tr>
      <w:tr>
        <w:tc>
          <w:tcPr>
            <w:tcW w:type="dxa" w:w="2340"/>
          </w:tcPr>
          <w:p>
            <w:r>
              <w:t>Partly Closed</w:t>
            </w:r>
          </w:p>
        </w:tc>
        <w:tc>
          <w:tcPr>
            <w:tcW w:type="dxa" w:w="2340"/>
          </w:tcPr>
          <w:p>
            <w:r>
              <w:t>Partially consumed by downstream documents</w:t>
            </w:r>
          </w:p>
        </w:tc>
        <w:tc>
          <w:tcPr>
            <w:tcW w:type="dxa" w:w="2340"/>
          </w:tcPr>
          <w:p>
            <w:r>
              <w:t>No</w:t>
            </w:r>
          </w:p>
        </w:tc>
        <w:tc>
          <w:tcPr>
            <w:tcW w:type="dxa" w:w="2340"/>
          </w:tcPr>
          <w:p>
            <w:r>
              <w:t>Original posting stands</w:t>
            </w:r>
          </w:p>
        </w:tc>
      </w:tr>
      <w:tr>
        <w:tc>
          <w:tcPr>
            <w:tcW w:type="dxa" w:w="2340"/>
          </w:tcPr>
          <w:p>
            <w:r>
              <w:t>Closed</w:t>
            </w:r>
          </w:p>
        </w:tc>
        <w:tc>
          <w:tcPr>
            <w:tcW w:type="dxa" w:w="2340"/>
          </w:tcPr>
          <w:p>
            <w:r>
              <w:t>Fully consumed; lifecycle complete</w:t>
            </w:r>
          </w:p>
        </w:tc>
        <w:tc>
          <w:tcPr>
            <w:tcW w:type="dxa" w:w="2340"/>
          </w:tcPr>
          <w:p>
            <w:r>
              <w:t>No</w:t>
            </w:r>
          </w:p>
        </w:tc>
        <w:tc>
          <w:tcPr>
            <w:tcW w:type="dxa" w:w="2340"/>
          </w:tcPr>
          <w:p>
            <w:r>
              <w:t>Original posting stands</w:t>
            </w:r>
          </w:p>
        </w:tc>
      </w:tr>
      <w:tr>
        <w:tc>
          <w:tcPr>
            <w:tcW w:type="dxa" w:w="2340"/>
          </w:tcPr>
          <w:p>
            <w:r>
              <w:t>Cancelled</w:t>
            </w:r>
          </w:p>
        </w:tc>
        <w:tc>
          <w:tcPr>
            <w:tcW w:type="dxa" w:w="2340"/>
          </w:tcPr>
          <w:p>
            <w:r>
              <w:t>Voided; appears in audit history</w:t>
            </w:r>
          </w:p>
        </w:tc>
        <w:tc>
          <w:tcPr>
            <w:tcW w:type="dxa" w:w="2340"/>
          </w:tcPr>
          <w:p>
            <w:r>
              <w:t>No</w:t>
            </w:r>
          </w:p>
        </w:tc>
        <w:tc>
          <w:tcPr>
            <w:tcW w:type="dxa" w:w="2340"/>
          </w:tcPr>
          <w:p>
            <w:r>
              <w:t>Reversal posting fired</w:t>
            </w:r>
          </w:p>
        </w:tc>
      </w:tr>
    </w:tbl>
    <w:p/>
    <w:p>
      <w:pPr>
        <w:pStyle w:val="Heading1"/>
      </w:pPr>
      <w:r>
        <w:rPr>
          <w:color w:val="1F3A5F"/>
        </w:rPr>
        <w:t>Procedure 10 — Document chain navigation</w:t>
      </w:r>
    </w:p>
    <w:p>
      <w:r>
        <w:rPr>
          <w:b w:val="0"/>
          <w:i w:val="0"/>
          <w:sz w:val="22"/>
        </w:rPr>
        <w:t>Each document detail page shows a Doc Chain card with two sections:</w:t>
      </w:r>
    </w:p>
    <w:p>
      <w:pPr>
        <w:pStyle w:val="ListBullet"/>
        <w:ind w:left="576"/>
      </w:pPr>
      <w:r>
        <w:t>Base Document — what this document was created FROM (e.g., the source Quote that became this SO)</w:t>
      </w:r>
    </w:p>
    <w:p>
      <w:pPr>
        <w:pStyle w:val="ListBullet"/>
        <w:ind w:left="576"/>
      </w:pPr>
      <w:r>
        <w:t>Target Documents — what has been created FROM this document (e.g., Deliveries drawn off this SO; Receipts that paid this Invoice)</w:t>
      </w:r>
    </w:p>
    <w:p>
      <w:r>
        <w:rPr>
          <w:b w:val="0"/>
          <w:i w:val="0"/>
          <w:sz w:val="22"/>
        </w:rPr>
      </w:r>
    </w:p>
    <w:p>
      <w:r>
        <w:rPr>
          <w:b w:val="0"/>
          <w:i w:val="0"/>
          <w:sz w:val="22"/>
        </w:rPr>
        <w:t>Click any link in the Doc Chain card to navigate to that document. This is how you trace cash all the way back to the original quote, or forward from a quote to see how it was ultimately settled.</w:t>
      </w:r>
    </w:p>
    <w:p>
      <w:pPr>
        <w:pStyle w:val="Heading1"/>
      </w:pPr>
      <w:r>
        <w:rPr>
          <w:color w:val="1F3A5F"/>
        </w:rPr>
        <w:t>Known limitations during testing</w:t>
      </w:r>
    </w:p>
    <w:p>
      <w:pPr>
        <w:pStyle w:val="ListBullet"/>
        <w:ind w:left="576"/>
      </w:pPr>
      <w:r>
        <w:t>Delivery UI not yet shipped</w:t>
      </w:r>
    </w:p>
    <w:p>
      <w:pPr>
        <w:ind w:left="1080"/>
      </w:pPr>
      <w:r>
        <w:rPr>
          <w:i/>
          <w:sz w:val="20"/>
        </w:rPr>
        <w:t>Workaround: Create Deliveries through the API or wait for the next task. AR Invoice from-Delivery UI works against existing Deliveries.</w:t>
      </w:r>
    </w:p>
    <w:p>
      <w:pPr>
        <w:pStyle w:val="ListBullet"/>
        <w:ind w:left="576"/>
      </w:pPr>
      <w:r>
        <w:t>Audit History button is intentionally hidden on every sales document detail page</w:t>
      </w:r>
    </w:p>
    <w:p>
      <w:pPr>
        <w:ind w:left="1080"/>
      </w:pPr>
      <w:r>
        <w:rPr>
          <w:i/>
          <w:sz w:val="20"/>
        </w:rPr>
        <w:t>Workaround: The endpoint that backs it is finance-side and does not yet serve sales entity types. A sales-side audit endpoint is in flight.</w:t>
      </w:r>
    </w:p>
    <w:p>
      <w:pPr>
        <w:pStyle w:val="ListBullet"/>
        <w:ind w:left="576"/>
      </w:pPr>
      <w:r>
        <w:t>Attachment upload returns an error on sales documents</w:t>
      </w:r>
    </w:p>
    <w:p>
      <w:pPr>
        <w:ind w:left="1080"/>
      </w:pPr>
      <w:r>
        <w:rPr>
          <w:i/>
          <w:sz w:val="20"/>
        </w:rPr>
        <w:t>Workaround: The list of attachments works. Upload routing is tracked as a known gap.</w:t>
      </w:r>
    </w:p>
    <w:p>
      <w:pPr>
        <w:pStyle w:val="ListBullet"/>
        <w:ind w:left="576"/>
      </w:pPr>
      <w:r>
        <w:t>Return Request / Return Note / AR Credit Note have no UI yet</w:t>
      </w:r>
    </w:p>
    <w:p>
      <w:pPr>
        <w:ind w:left="1080"/>
      </w:pPr>
      <w:r>
        <w:rPr>
          <w:i/>
          <w:sz w:val="20"/>
        </w:rPr>
        <w:t>Workaround: Backend is complete; UIs are queued in the next set of tasks.</w:t>
      </w:r>
    </w:p>
    <w:p>
      <w:pPr>
        <w:pStyle w:val="ListBullet"/>
        <w:ind w:left="576"/>
      </w:pPr>
      <w:r>
        <w:t>Returns posting JE shows AED 0.00 on the inventory side</w:t>
      </w:r>
    </w:p>
    <w:p>
      <w:pPr>
        <w:ind w:left="1080"/>
      </w:pPr>
      <w:r>
        <w:rPr>
          <w:i/>
          <w:sz w:val="20"/>
        </w:rPr>
        <w:t>Workaround: The test items have no cost data seeded. The math is correct; the input is zero. Sales Items master + COGS seeding will populate realistic values.</w:t>
      </w:r>
    </w:p>
    <w:p>
      <w:pPr>
        <w:pStyle w:val="Heading1"/>
      </w:pPr>
      <w:r>
        <w:rPr>
          <w:color w:val="1F3A5F"/>
        </w:rPr>
        <w:t>Glossary</w:t>
      </w:r>
    </w:p>
    <w:tbl>
      <w:tblPr>
        <w:tblStyle w:val="LightGrid-Accent1"/>
        <w:tblW w:type="auto" w:w="0"/>
        <w:tblLook w:firstColumn="1" w:firstRow="1" w:lastColumn="0" w:lastRow="0" w:noHBand="0" w:noVBand="1" w:val="04A0"/>
      </w:tblPr>
      <w:tblGrid>
        <w:gridCol w:w="4680"/>
        <w:gridCol w:w="4680"/>
      </w:tblGrid>
      <w:tr>
        <w:tc>
          <w:tcPr>
            <w:tcW w:type="dxa" w:w="4680"/>
            <w:shd w:val="clear" w:color="auto" w:fill="1F3A5F"/>
          </w:tcPr>
          <w:p>
            <w:r>
              <w:rPr>
                <w:b/>
                <w:color w:val="FFFFFF"/>
              </w:rPr>
              <w:t>Term</w:t>
            </w:r>
          </w:p>
        </w:tc>
        <w:tc>
          <w:tcPr>
            <w:tcW w:type="dxa" w:w="4680"/>
            <w:shd w:val="clear" w:color="auto" w:fill="1F3A5F"/>
          </w:tcPr>
          <w:p>
            <w:r>
              <w:rPr>
                <w:b/>
                <w:color w:val="FFFFFF"/>
              </w:rPr>
              <w:t>Meaning</w:t>
            </w:r>
          </w:p>
        </w:tc>
      </w:tr>
      <w:tr>
        <w:tc>
          <w:tcPr>
            <w:tcW w:type="dxa" w:w="4680"/>
          </w:tcPr>
          <w:p>
            <w:r>
              <w:t>BP</w:t>
            </w:r>
          </w:p>
        </w:tc>
        <w:tc>
          <w:tcPr>
            <w:tcW w:type="dxa" w:w="4680"/>
          </w:tcPr>
          <w:p>
            <w:r>
              <w:t>Business Partner (customer or vendor)</w:t>
            </w:r>
          </w:p>
        </w:tc>
      </w:tr>
      <w:tr>
        <w:tc>
          <w:tcPr>
            <w:tcW w:type="dxa" w:w="4680"/>
          </w:tcPr>
          <w:p>
            <w:r>
              <w:t>BP Ref No</w:t>
            </w:r>
          </w:p>
        </w:tc>
        <w:tc>
          <w:tcPr>
            <w:tcW w:type="dxa" w:w="4680"/>
          </w:tcPr>
          <w:p>
            <w:r>
              <w:t>The customer's reference number for this transaction (their PO number, etc.)</w:t>
            </w:r>
          </w:p>
        </w:tc>
      </w:tr>
      <w:tr>
        <w:tc>
          <w:tcPr>
            <w:tcW w:type="dxa" w:w="4680"/>
          </w:tcPr>
          <w:p>
            <w:r>
              <w:t>DocEntry</w:t>
            </w:r>
          </w:p>
        </w:tc>
        <w:tc>
          <w:tcPr>
            <w:tcW w:type="dxa" w:w="4680"/>
          </w:tcPr>
          <w:p>
            <w:r>
              <w:t>Internal UUID of a document — used in URLs</w:t>
            </w:r>
          </w:p>
        </w:tc>
      </w:tr>
      <w:tr>
        <w:tc>
          <w:tcPr>
            <w:tcW w:type="dxa" w:w="4680"/>
          </w:tcPr>
          <w:p>
            <w:r>
              <w:t>DocNum / DocNumber</w:t>
            </w:r>
          </w:p>
        </w:tc>
        <w:tc>
          <w:tcPr>
            <w:tcW w:type="dxa" w:w="4680"/>
          </w:tcPr>
          <w:p>
            <w:r>
              <w:t>Human-readable document number (e.g. ARI-2026-0001)</w:t>
            </w:r>
          </w:p>
        </w:tc>
      </w:tr>
      <w:tr>
        <w:tc>
          <w:tcPr>
            <w:tcW w:type="dxa" w:w="4680"/>
          </w:tcPr>
          <w:p>
            <w:r>
              <w:t>GL</w:t>
            </w:r>
          </w:p>
        </w:tc>
        <w:tc>
          <w:tcPr>
            <w:tcW w:type="dxa" w:w="4680"/>
          </w:tcPr>
          <w:p>
            <w:r>
              <w:t>General Ledger</w:t>
            </w:r>
          </w:p>
        </w:tc>
      </w:tr>
      <w:tr>
        <w:tc>
          <w:tcPr>
            <w:tcW w:type="dxa" w:w="4680"/>
          </w:tcPr>
          <w:p>
            <w:r>
              <w:t>JE</w:t>
            </w:r>
          </w:p>
        </w:tc>
        <w:tc>
          <w:tcPr>
            <w:tcW w:type="dxa" w:w="4680"/>
          </w:tcPr>
          <w:p>
            <w:r>
              <w:t>Journal Entry (a balanced Dr/Cr posting in the GL)</w:t>
            </w:r>
          </w:p>
        </w:tc>
      </w:tr>
      <w:tr>
        <w:tc>
          <w:tcPr>
            <w:tcW w:type="dxa" w:w="4680"/>
          </w:tcPr>
          <w:p>
            <w:r>
              <w:t>Open Amount</w:t>
            </w:r>
          </w:p>
        </w:tc>
        <w:tc>
          <w:tcPr>
            <w:tcW w:type="dxa" w:w="4680"/>
          </w:tcPr>
          <w:p>
            <w:r>
              <w:t>What is still due on an AR Invoice after paid + credited</w:t>
            </w:r>
          </w:p>
        </w:tc>
      </w:tr>
      <w:tr>
        <w:tc>
          <w:tcPr>
            <w:tcW w:type="dxa" w:w="4680"/>
          </w:tcPr>
          <w:p>
            <w:r>
              <w:t>RMA</w:t>
            </w:r>
          </w:p>
        </w:tc>
        <w:tc>
          <w:tcPr>
            <w:tcW w:type="dxa" w:w="4680"/>
          </w:tcPr>
          <w:p>
            <w:r>
              <w:t>Return Material Authorisation (= our Return Request)</w:t>
            </w:r>
          </w:p>
        </w:tc>
      </w:tr>
      <w:tr>
        <w:tc>
          <w:tcPr>
            <w:tcW w:type="dxa" w:w="4680"/>
          </w:tcPr>
          <w:p>
            <w:r>
              <w:t>Tax Point</w:t>
            </w:r>
          </w:p>
        </w:tc>
        <w:tc>
          <w:tcPr>
            <w:tcW w:type="dxa" w:w="4680"/>
          </w:tcPr>
          <w:p>
            <w:r>
              <w:t>The date that governs which tax period a transaction falls into</w:t>
            </w:r>
          </w:p>
        </w:tc>
      </w:tr>
      <w:tr>
        <w:tc>
          <w:tcPr>
            <w:tcW w:type="dxa" w:w="4680"/>
          </w:tcPr>
          <w:p>
            <w:r>
              <w:t>VAT</w:t>
            </w:r>
          </w:p>
        </w:tc>
        <w:tc>
          <w:tcPr>
            <w:tcW w:type="dxa" w:w="4680"/>
          </w:tcPr>
          <w:p>
            <w:r>
              <w:t>Value-Added Tax (Output VAT = collected from customer)</w:t>
            </w:r>
          </w:p>
        </w:tc>
      </w:tr>
    </w:tbl>
    <w:p/>
    <w:p>
      <w:pPr>
        <w:pStyle w:val="Heading1"/>
      </w:pPr>
      <w:r>
        <w:rPr>
          <w:color w:val="1F3A5F"/>
        </w:rPr>
        <w:t>Feedback</w:t>
      </w:r>
    </w:p>
    <w:p>
      <w:r>
        <w:rPr>
          <w:b w:val="0"/>
          <w:i w:val="0"/>
          <w:sz w:val="22"/>
        </w:rPr>
        <w:t>If you encounter unexpected behaviour, an error message that is unclear, or a workflow gap that surfaces during testing, please log it in the issue tracker with: the document number(s) involved, the action you took, what you expected, and what actually happened. Screenshots help. Thank you for testing.</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